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69" w:rsidRDefault="008C4269">
      <w:pPr>
        <w:pStyle w:val="ConsPlusTitlePage"/>
      </w:pPr>
    </w:p>
    <w:p w:rsidR="008C4269" w:rsidRDefault="008C4269">
      <w:pPr>
        <w:pStyle w:val="ConsPlusNormal"/>
        <w:outlineLvl w:val="0"/>
      </w:pPr>
    </w:p>
    <w:p w:rsidR="008C4269" w:rsidRDefault="008C4269">
      <w:pPr>
        <w:pStyle w:val="ConsPlusTitle"/>
        <w:jc w:val="center"/>
        <w:outlineLvl w:val="0"/>
      </w:pPr>
      <w:r>
        <w:t xml:space="preserve">КОМИТЕТ ПО ПЕЧАТИ </w:t>
      </w:r>
    </w:p>
    <w:p w:rsidR="008C4269" w:rsidRDefault="008C4269">
      <w:pPr>
        <w:pStyle w:val="ConsPlusTitle"/>
        <w:jc w:val="center"/>
      </w:pPr>
      <w:r>
        <w:t>ЛЕНИНГРАДСКОЙ ОБЛАСТИ</w:t>
      </w:r>
    </w:p>
    <w:p w:rsidR="008C4269" w:rsidRDefault="008C4269">
      <w:pPr>
        <w:pStyle w:val="ConsPlusTitle"/>
        <w:jc w:val="center"/>
      </w:pPr>
    </w:p>
    <w:p w:rsidR="008C4269" w:rsidRDefault="008C4269">
      <w:pPr>
        <w:pStyle w:val="ConsPlusTitle"/>
        <w:jc w:val="center"/>
      </w:pPr>
      <w:r>
        <w:t>ПРИКАЗ</w:t>
      </w:r>
    </w:p>
    <w:p w:rsidR="008C4269" w:rsidRDefault="008C4269">
      <w:pPr>
        <w:pStyle w:val="ConsPlusTitle"/>
        <w:jc w:val="center"/>
      </w:pPr>
      <w:r>
        <w:t>от 6 марта 2018 г. N 9</w:t>
      </w:r>
    </w:p>
    <w:p w:rsidR="008C4269" w:rsidRDefault="008C4269">
      <w:pPr>
        <w:pStyle w:val="ConsPlusTitle"/>
        <w:jc w:val="center"/>
      </w:pPr>
    </w:p>
    <w:p w:rsidR="008C4269" w:rsidRDefault="008C4269">
      <w:pPr>
        <w:pStyle w:val="ConsPlusTitle"/>
        <w:jc w:val="center"/>
      </w:pPr>
      <w:r>
        <w:t>ОБ УТВЕРЖДЕНИИ ПОЛОЖЕНИЯ ОБ ЭКСПЕРТНОМ СОВЕТЕ ПО ПРОВЕДЕНИЮ</w:t>
      </w:r>
    </w:p>
    <w:p w:rsidR="008C4269" w:rsidRDefault="008C4269">
      <w:pPr>
        <w:pStyle w:val="ConsPlusTitle"/>
        <w:jc w:val="center"/>
      </w:pPr>
      <w:r>
        <w:t>КОНКУРСНОГО ОТБОРА ПО ПРЕДОСТАВЛЕНИЮ СУБСИДИЙ СОЦИАЛЬНО</w:t>
      </w:r>
    </w:p>
    <w:p w:rsidR="008C4269" w:rsidRDefault="008C4269">
      <w:pPr>
        <w:pStyle w:val="ConsPlusTitle"/>
        <w:jc w:val="center"/>
      </w:pPr>
      <w:r>
        <w:t>ОРИЕНТИРОВАННЫМ НЕКОММЕРЧЕСКИМ ОРГАНИЗАЦИЯМ, ВЫПОЛНЯЮЩИМ</w:t>
      </w:r>
    </w:p>
    <w:p w:rsidR="008C4269" w:rsidRDefault="008C4269">
      <w:pPr>
        <w:pStyle w:val="ConsPlusTitle"/>
        <w:jc w:val="center"/>
      </w:pPr>
      <w:r>
        <w:t>ФУНКЦИИ РЕСУРСНЫХ ЦЕНТРОВ ПОДДЕРЖКИ ДЕЯТЕЛЬНОСТИ СОЦИАЛЬНО</w:t>
      </w:r>
    </w:p>
    <w:p w:rsidR="008C4269" w:rsidRDefault="008C4269">
      <w:pPr>
        <w:pStyle w:val="ConsPlusTitle"/>
        <w:jc w:val="center"/>
      </w:pPr>
      <w:r>
        <w:t>ОРИЕНТИРОВАННЫХ НЕКОММЕРЧЕСКИХ ОРГАНИЗАЦИЙ НА ТЕРРИТОРИИ</w:t>
      </w:r>
    </w:p>
    <w:p w:rsidR="008C4269" w:rsidRDefault="008C4269">
      <w:pPr>
        <w:pStyle w:val="ConsPlusTitle"/>
        <w:jc w:val="center"/>
      </w:pPr>
      <w:r>
        <w:t>ЛЕНИНГРАДСКОЙ ОБЛАСТИ, И КРИТЕРИЕВ ОЦЕНКИ ЗАЯВОК</w:t>
      </w:r>
    </w:p>
    <w:p w:rsidR="008C4269" w:rsidRDefault="008C4269">
      <w:pPr>
        <w:pStyle w:val="ConsPlusTitle"/>
        <w:jc w:val="center"/>
      </w:pPr>
      <w:r>
        <w:t>НА ПОЛУЧЕНИЕ СУБСИДИЙ</w:t>
      </w:r>
    </w:p>
    <w:p w:rsidR="008C4269" w:rsidRDefault="008C42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269">
        <w:trPr>
          <w:jc w:val="center"/>
        </w:trPr>
        <w:tc>
          <w:tcPr>
            <w:tcW w:w="9294" w:type="dxa"/>
            <w:tcBorders>
              <w:top w:val="nil"/>
              <w:left w:val="single" w:sz="24" w:space="0" w:color="CED3F1"/>
              <w:bottom w:val="nil"/>
              <w:right w:val="single" w:sz="24" w:space="0" w:color="F4F3F8"/>
            </w:tcBorders>
            <w:shd w:val="clear" w:color="auto" w:fill="F4F3F8"/>
          </w:tcPr>
          <w:p w:rsidR="008C4269" w:rsidRDefault="008C4269">
            <w:pPr>
              <w:pStyle w:val="ConsPlusNormal"/>
              <w:jc w:val="center"/>
            </w:pPr>
            <w:r>
              <w:rPr>
                <w:color w:val="392C69"/>
              </w:rPr>
              <w:t>Список изменяющих документов</w:t>
            </w:r>
          </w:p>
          <w:p w:rsidR="008C4269" w:rsidRDefault="008C4269">
            <w:pPr>
              <w:pStyle w:val="ConsPlusNormal"/>
              <w:jc w:val="center"/>
            </w:pPr>
            <w:proofErr w:type="gramStart"/>
            <w:r>
              <w:rPr>
                <w:color w:val="392C69"/>
              </w:rPr>
              <w:t>(в ред. Приказов комитета по печати и связям с общественностью Ленинградской</w:t>
            </w:r>
            <w:proofErr w:type="gramEnd"/>
          </w:p>
          <w:p w:rsidR="008C4269" w:rsidRDefault="008C4269">
            <w:pPr>
              <w:pStyle w:val="ConsPlusNormal"/>
              <w:jc w:val="center"/>
            </w:pPr>
            <w:r>
              <w:rPr>
                <w:color w:val="392C69"/>
              </w:rPr>
              <w:t xml:space="preserve">области от 01.08.2018 </w:t>
            </w:r>
            <w:hyperlink r:id="rId5" w:history="1">
              <w:r>
                <w:rPr>
                  <w:color w:val="0000FF"/>
                </w:rPr>
                <w:t>N 16</w:t>
              </w:r>
            </w:hyperlink>
            <w:r>
              <w:rPr>
                <w:color w:val="392C69"/>
              </w:rPr>
              <w:t xml:space="preserve">, от 29.03.2019 </w:t>
            </w:r>
            <w:hyperlink r:id="rId6" w:history="1">
              <w:r>
                <w:rPr>
                  <w:color w:val="0000FF"/>
                </w:rPr>
                <w:t>N 15</w:t>
              </w:r>
            </w:hyperlink>
            <w:r>
              <w:rPr>
                <w:color w:val="392C69"/>
              </w:rPr>
              <w:t xml:space="preserve">, </w:t>
            </w:r>
            <w:hyperlink r:id="rId7" w:history="1">
              <w:r>
                <w:rPr>
                  <w:color w:val="0000FF"/>
                </w:rPr>
                <w:t>Приказа</w:t>
              </w:r>
            </w:hyperlink>
            <w:r>
              <w:rPr>
                <w:color w:val="392C69"/>
              </w:rPr>
              <w:t xml:space="preserve"> Комитета по печати</w:t>
            </w:r>
          </w:p>
          <w:p w:rsidR="008C4269" w:rsidRDefault="008C4269">
            <w:pPr>
              <w:pStyle w:val="ConsPlusNormal"/>
              <w:jc w:val="center"/>
            </w:pPr>
            <w:proofErr w:type="gramStart"/>
            <w:r>
              <w:rPr>
                <w:color w:val="392C69"/>
              </w:rPr>
              <w:t>Ленинградской области от 08.11.2019 N 10)</w:t>
            </w:r>
            <w:proofErr w:type="gramEnd"/>
          </w:p>
        </w:tc>
      </w:tr>
    </w:tbl>
    <w:p w:rsidR="008C4269" w:rsidRDefault="008C4269">
      <w:pPr>
        <w:pStyle w:val="ConsPlusNormal"/>
        <w:ind w:firstLine="540"/>
        <w:jc w:val="both"/>
      </w:pPr>
    </w:p>
    <w:p w:rsidR="008C4269" w:rsidRDefault="008C4269">
      <w:pPr>
        <w:pStyle w:val="ConsPlusNormal"/>
        <w:ind w:firstLine="540"/>
        <w:jc w:val="both"/>
      </w:pPr>
      <w:r>
        <w:t xml:space="preserve">В соответствии с </w:t>
      </w:r>
      <w:hyperlink r:id="rId8" w:history="1">
        <w:r>
          <w:rPr>
            <w:color w:val="0000FF"/>
          </w:rPr>
          <w:t>Порядком</w:t>
        </w:r>
      </w:hyperlink>
      <w:r>
        <w:t xml:space="preserve">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 утвержденным </w:t>
      </w:r>
      <w:hyperlink r:id="rId9" w:history="1">
        <w:r>
          <w:rPr>
            <w:color w:val="0000FF"/>
          </w:rPr>
          <w:t>постановлением</w:t>
        </w:r>
      </w:hyperlink>
      <w:r>
        <w:t xml:space="preserve"> Правительства Ленинградской области от 15 февраля 2018 года N 46, приказываю:</w:t>
      </w:r>
    </w:p>
    <w:p w:rsidR="008C4269" w:rsidRDefault="008C4269">
      <w:pPr>
        <w:pStyle w:val="ConsPlusNormal"/>
        <w:ind w:firstLine="540"/>
        <w:jc w:val="both"/>
      </w:pPr>
    </w:p>
    <w:p w:rsidR="008C4269" w:rsidRDefault="008C4269">
      <w:pPr>
        <w:pStyle w:val="ConsPlusNormal"/>
        <w:ind w:firstLine="540"/>
        <w:jc w:val="both"/>
      </w:pPr>
      <w:r>
        <w:t xml:space="preserve">1. Утвердить </w:t>
      </w:r>
      <w:hyperlink w:anchor="P39" w:history="1">
        <w:r>
          <w:rPr>
            <w:color w:val="0000FF"/>
          </w:rPr>
          <w:t>положение</w:t>
        </w:r>
      </w:hyperlink>
      <w:r>
        <w:t xml:space="preserve"> об экспертном совете по проведению конкурсного отбора по предоставлению субсидий социально ориентированным некоммерческим организациям,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 согласно приложению 1 к настоящему приказу.</w:t>
      </w:r>
    </w:p>
    <w:p w:rsidR="008C4269" w:rsidRDefault="008C4269">
      <w:pPr>
        <w:pStyle w:val="ConsPlusNormal"/>
        <w:spacing w:before="220"/>
        <w:ind w:firstLine="540"/>
        <w:jc w:val="both"/>
      </w:pPr>
      <w:r>
        <w:t xml:space="preserve">2. Утвердить </w:t>
      </w:r>
      <w:hyperlink w:anchor="P173" w:history="1">
        <w:r>
          <w:rPr>
            <w:color w:val="0000FF"/>
          </w:rPr>
          <w:t>критерии</w:t>
        </w:r>
      </w:hyperlink>
      <w:r>
        <w:t xml:space="preserve"> оценки заявок на получение субсидий согласно приложению 2 к настоящему приказу.</w:t>
      </w:r>
    </w:p>
    <w:p w:rsidR="008C4269" w:rsidRDefault="008C4269">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8C4269" w:rsidRDefault="008C4269">
      <w:pPr>
        <w:pStyle w:val="ConsPlusNormal"/>
        <w:ind w:firstLine="540"/>
        <w:jc w:val="both"/>
      </w:pPr>
    </w:p>
    <w:p w:rsidR="008C4269" w:rsidRDefault="008C4269">
      <w:pPr>
        <w:pStyle w:val="ConsPlusNormal"/>
        <w:jc w:val="right"/>
      </w:pPr>
      <w:proofErr w:type="spellStart"/>
      <w:r>
        <w:t>И.о</w:t>
      </w:r>
      <w:proofErr w:type="spellEnd"/>
      <w:r>
        <w:t>. заместителя председателя Комитета</w:t>
      </w:r>
    </w:p>
    <w:p w:rsidR="008C4269" w:rsidRDefault="008C4269">
      <w:pPr>
        <w:pStyle w:val="ConsPlusNormal"/>
        <w:jc w:val="right"/>
      </w:pPr>
      <w:proofErr w:type="spellStart"/>
      <w:r>
        <w:t>В.Л.Хейфец</w:t>
      </w:r>
      <w:proofErr w:type="spellEnd"/>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8C4269" w:rsidRDefault="008C4269">
      <w:pPr>
        <w:pStyle w:val="ConsPlusNormal"/>
        <w:jc w:val="right"/>
        <w:outlineLvl w:val="0"/>
      </w:pPr>
      <w:r>
        <w:t>УТВЕРЖДЕНО</w:t>
      </w:r>
    </w:p>
    <w:p w:rsidR="008C4269" w:rsidRDefault="008C4269">
      <w:pPr>
        <w:pStyle w:val="ConsPlusNormal"/>
        <w:jc w:val="right"/>
      </w:pPr>
      <w:r>
        <w:t>приказом Комитета по печати</w:t>
      </w:r>
    </w:p>
    <w:p w:rsidR="008C4269" w:rsidRDefault="008C4269">
      <w:pPr>
        <w:pStyle w:val="ConsPlusNormal"/>
        <w:jc w:val="right"/>
      </w:pPr>
      <w:r>
        <w:t>и связям с общественностью</w:t>
      </w:r>
    </w:p>
    <w:p w:rsidR="008C4269" w:rsidRDefault="008C4269">
      <w:pPr>
        <w:pStyle w:val="ConsPlusNormal"/>
        <w:jc w:val="right"/>
      </w:pPr>
      <w:r>
        <w:t>Ленинградской области</w:t>
      </w:r>
    </w:p>
    <w:p w:rsidR="008C4269" w:rsidRDefault="008C4269">
      <w:pPr>
        <w:pStyle w:val="ConsPlusNormal"/>
        <w:jc w:val="right"/>
      </w:pPr>
      <w:r>
        <w:t>от 06.03.2018 N 9</w:t>
      </w:r>
    </w:p>
    <w:p w:rsidR="008C4269" w:rsidRDefault="008C4269">
      <w:pPr>
        <w:pStyle w:val="ConsPlusNormal"/>
        <w:jc w:val="right"/>
      </w:pPr>
      <w:r>
        <w:t>(приложение 1)</w:t>
      </w:r>
    </w:p>
    <w:p w:rsidR="008C4269" w:rsidRDefault="008C4269">
      <w:pPr>
        <w:pStyle w:val="ConsPlusNormal"/>
        <w:ind w:firstLine="540"/>
        <w:jc w:val="both"/>
      </w:pPr>
    </w:p>
    <w:p w:rsidR="008C4269" w:rsidRDefault="008C4269">
      <w:pPr>
        <w:pStyle w:val="ConsPlusTitle"/>
        <w:jc w:val="center"/>
      </w:pPr>
      <w:bookmarkStart w:id="0" w:name="P39"/>
      <w:bookmarkEnd w:id="0"/>
      <w:r>
        <w:t>ПОЛОЖЕНИЕ</w:t>
      </w:r>
    </w:p>
    <w:p w:rsidR="008C4269" w:rsidRDefault="008C4269">
      <w:pPr>
        <w:pStyle w:val="ConsPlusTitle"/>
        <w:jc w:val="center"/>
      </w:pPr>
      <w:r>
        <w:t>ОБ ЭКСПЕРТНОМ СОВЕТЕ ПО ПРОВЕДЕНИЮ КОНКУРСНОГО ОТБОРА</w:t>
      </w:r>
    </w:p>
    <w:p w:rsidR="008C4269" w:rsidRDefault="008C4269">
      <w:pPr>
        <w:pStyle w:val="ConsPlusTitle"/>
        <w:jc w:val="center"/>
      </w:pPr>
      <w:r>
        <w:t xml:space="preserve">ПО ПРЕДОСТАВЛЕНИЮ СУБСИДИЙ СОЦИАЛЬНО </w:t>
      </w:r>
      <w:proofErr w:type="gramStart"/>
      <w:r>
        <w:t>ОРИЕНТИРОВАННЫМ</w:t>
      </w:r>
      <w:proofErr w:type="gramEnd"/>
    </w:p>
    <w:p w:rsidR="008C4269" w:rsidRDefault="008C4269">
      <w:pPr>
        <w:pStyle w:val="ConsPlusTitle"/>
        <w:jc w:val="center"/>
      </w:pPr>
      <w:r>
        <w:t xml:space="preserve">НЕКОММЕРЧЕСКИМ ОРГАНИЗАЦИЯМ, ВЫПОЛНЯЮЩИМ ФУНКЦИИ </w:t>
      </w:r>
      <w:proofErr w:type="gramStart"/>
      <w:r>
        <w:t>РЕСУРСНЫХ</w:t>
      </w:r>
      <w:proofErr w:type="gramEnd"/>
    </w:p>
    <w:p w:rsidR="008C4269" w:rsidRDefault="008C4269">
      <w:pPr>
        <w:pStyle w:val="ConsPlusTitle"/>
        <w:jc w:val="center"/>
      </w:pPr>
      <w:r>
        <w:t>ЦЕНТРОВ ПОДДЕРЖКИ ДЕЯТЕЛЬНОСТИ СОЦИАЛЬНО ОРИЕНТИРОВАННЫХ</w:t>
      </w:r>
    </w:p>
    <w:p w:rsidR="008C4269" w:rsidRDefault="008C4269">
      <w:pPr>
        <w:pStyle w:val="ConsPlusTitle"/>
        <w:jc w:val="center"/>
      </w:pPr>
      <w:r>
        <w:t>НЕКОММЕРЧЕСКИХ ОРГАНИЗАЦИЙ НА ТЕРРИТОРИИ</w:t>
      </w:r>
    </w:p>
    <w:p w:rsidR="008C4269" w:rsidRDefault="008C4269">
      <w:pPr>
        <w:pStyle w:val="ConsPlusTitle"/>
        <w:jc w:val="center"/>
      </w:pPr>
      <w:r>
        <w:t>ЛЕНИНГРАДСКОЙ ОБЛАСТИ</w:t>
      </w:r>
    </w:p>
    <w:p w:rsidR="008C4269" w:rsidRDefault="008C42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269">
        <w:trPr>
          <w:jc w:val="center"/>
        </w:trPr>
        <w:tc>
          <w:tcPr>
            <w:tcW w:w="9294" w:type="dxa"/>
            <w:tcBorders>
              <w:top w:val="nil"/>
              <w:left w:val="single" w:sz="24" w:space="0" w:color="CED3F1"/>
              <w:bottom w:val="nil"/>
              <w:right w:val="single" w:sz="24" w:space="0" w:color="F4F3F8"/>
            </w:tcBorders>
            <w:shd w:val="clear" w:color="auto" w:fill="F4F3F8"/>
          </w:tcPr>
          <w:p w:rsidR="008C4269" w:rsidRDefault="008C4269">
            <w:pPr>
              <w:pStyle w:val="ConsPlusNormal"/>
              <w:jc w:val="center"/>
            </w:pPr>
            <w:r>
              <w:rPr>
                <w:color w:val="392C69"/>
              </w:rPr>
              <w:t>Список изменяющих документов</w:t>
            </w:r>
          </w:p>
          <w:p w:rsidR="008C4269" w:rsidRDefault="008C4269">
            <w:pPr>
              <w:pStyle w:val="ConsPlusNormal"/>
              <w:jc w:val="center"/>
            </w:pPr>
            <w:proofErr w:type="gramStart"/>
            <w:r>
              <w:rPr>
                <w:color w:val="392C69"/>
              </w:rPr>
              <w:t>(в ред. Приказов комитета по печати и связям с общественностью Ленинградской</w:t>
            </w:r>
            <w:proofErr w:type="gramEnd"/>
          </w:p>
          <w:p w:rsidR="008C4269" w:rsidRDefault="008C4269">
            <w:pPr>
              <w:pStyle w:val="ConsPlusNormal"/>
              <w:jc w:val="center"/>
            </w:pPr>
            <w:r>
              <w:rPr>
                <w:color w:val="392C69"/>
              </w:rPr>
              <w:t xml:space="preserve">области от 01.08.2018 </w:t>
            </w:r>
            <w:hyperlink r:id="rId10" w:history="1">
              <w:r>
                <w:rPr>
                  <w:color w:val="0000FF"/>
                </w:rPr>
                <w:t>N 16</w:t>
              </w:r>
            </w:hyperlink>
            <w:r>
              <w:rPr>
                <w:color w:val="392C69"/>
              </w:rPr>
              <w:t xml:space="preserve">, от 29.03.2019 </w:t>
            </w:r>
            <w:hyperlink r:id="rId11" w:history="1">
              <w:r>
                <w:rPr>
                  <w:color w:val="0000FF"/>
                </w:rPr>
                <w:t>N 15</w:t>
              </w:r>
            </w:hyperlink>
            <w:r>
              <w:rPr>
                <w:color w:val="392C69"/>
              </w:rPr>
              <w:t xml:space="preserve">, </w:t>
            </w:r>
            <w:hyperlink r:id="rId12" w:history="1">
              <w:r>
                <w:rPr>
                  <w:color w:val="0000FF"/>
                </w:rPr>
                <w:t>Приказа</w:t>
              </w:r>
            </w:hyperlink>
            <w:r>
              <w:rPr>
                <w:color w:val="392C69"/>
              </w:rPr>
              <w:t xml:space="preserve"> Комитета по печати</w:t>
            </w:r>
          </w:p>
          <w:p w:rsidR="008C4269" w:rsidRDefault="008C4269">
            <w:pPr>
              <w:pStyle w:val="ConsPlusNormal"/>
              <w:jc w:val="center"/>
            </w:pPr>
            <w:proofErr w:type="gramStart"/>
            <w:r>
              <w:rPr>
                <w:color w:val="392C69"/>
              </w:rPr>
              <w:t>Ленинградской области от 08.11.2019 N 10)</w:t>
            </w:r>
            <w:proofErr w:type="gramEnd"/>
          </w:p>
        </w:tc>
      </w:tr>
    </w:tbl>
    <w:p w:rsidR="008C4269" w:rsidRDefault="008C4269">
      <w:pPr>
        <w:pStyle w:val="ConsPlusNormal"/>
        <w:ind w:firstLine="540"/>
        <w:jc w:val="both"/>
      </w:pPr>
    </w:p>
    <w:p w:rsidR="008C4269" w:rsidRDefault="008C4269">
      <w:pPr>
        <w:pStyle w:val="ConsPlusTitle"/>
        <w:ind w:firstLine="540"/>
        <w:jc w:val="both"/>
        <w:outlineLvl w:val="1"/>
      </w:pPr>
      <w:r>
        <w:t>1. Общие положения</w:t>
      </w:r>
    </w:p>
    <w:p w:rsidR="008C4269" w:rsidRDefault="008C4269">
      <w:pPr>
        <w:pStyle w:val="ConsPlusNormal"/>
        <w:ind w:firstLine="540"/>
        <w:jc w:val="both"/>
      </w:pPr>
    </w:p>
    <w:p w:rsidR="008C4269" w:rsidRDefault="008C4269">
      <w:pPr>
        <w:pStyle w:val="ConsPlusNormal"/>
        <w:ind w:firstLine="540"/>
        <w:jc w:val="both"/>
      </w:pPr>
      <w:r>
        <w:t>1.1. Настоящее Положение определяет порядок формирования, организации работы и полномочия экспертного совета по проведению конкурсного отбора по предоставлению субсидий из областного бюджета Ленинградской области социально ориентированным некоммерческим организациям,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 (далее - Экспертный совет, конкурсный отбор, субсидия).</w:t>
      </w:r>
    </w:p>
    <w:p w:rsidR="008C4269" w:rsidRDefault="008C4269">
      <w:pPr>
        <w:pStyle w:val="ConsPlusNormal"/>
        <w:spacing w:before="220"/>
        <w:ind w:firstLine="540"/>
        <w:jc w:val="both"/>
      </w:pPr>
      <w:proofErr w:type="gramStart"/>
      <w:r>
        <w:t xml:space="preserve">Под социально ориентированными некоммерческими организациями, выполняющими функции ресурсных центров поддержки деятельности социально ориентированных некоммерческих организаций на территории Ленинградской области, понимаются организации, оказывающие в соответствии с Областным </w:t>
      </w:r>
      <w:hyperlink r:id="rId13" w:history="1">
        <w:r>
          <w:rPr>
            <w:color w:val="0000FF"/>
          </w:rPr>
          <w:t>законом</w:t>
        </w:r>
      </w:hyperlink>
      <w:r>
        <w:t xml:space="preserve"> от 29 июня 2012 года N 52-оз "О государственной поддержке социально ориентированных некоммерческих организаций в Ленинградской области" финансовую, информационно-консультационную поддержку социально ориентированным некоммерческим организациям Ленинградской области, направленную на осуществление ими в соответствии с</w:t>
      </w:r>
      <w:proofErr w:type="gramEnd"/>
      <w:r>
        <w:t xml:space="preserve"> учредительными документами видов деятельности, перечисленных в </w:t>
      </w:r>
      <w:hyperlink r:id="rId14" w:history="1">
        <w:r>
          <w:rPr>
            <w:color w:val="0000FF"/>
          </w:rPr>
          <w:t>пункте 1 статьи 31.1</w:t>
        </w:r>
      </w:hyperlink>
      <w:r>
        <w:t xml:space="preserve"> Федерального закона от 12 января 1996 года N 7-ФЗ "О некоммерческих организациях" (далее - СО НКО).</w:t>
      </w:r>
    </w:p>
    <w:p w:rsidR="008C4269" w:rsidRDefault="008C4269">
      <w:pPr>
        <w:pStyle w:val="ConsPlusNormal"/>
        <w:spacing w:before="220"/>
        <w:ind w:firstLine="540"/>
        <w:jc w:val="both"/>
      </w:pPr>
      <w:r>
        <w:t xml:space="preserve">1.2. Исключен. - </w:t>
      </w:r>
      <w:hyperlink r:id="rId15" w:history="1">
        <w:r>
          <w:rPr>
            <w:color w:val="0000FF"/>
          </w:rPr>
          <w:t>Приказ</w:t>
        </w:r>
      </w:hyperlink>
      <w:r>
        <w:t xml:space="preserve"> комитета по печати и связям с общественностью Ленинградской области от 29.03.2019 N 15.</w:t>
      </w:r>
    </w:p>
    <w:p w:rsidR="008C4269" w:rsidRDefault="008C4269">
      <w:pPr>
        <w:pStyle w:val="ConsPlusNormal"/>
        <w:spacing w:before="220"/>
        <w:ind w:firstLine="540"/>
        <w:jc w:val="both"/>
      </w:pPr>
      <w:r>
        <w:t>1.3. В состав Экспертного совета входят члены Экспертного совета, председатель Экспертного совета и секретарь Экспертного совета. Общее число членов Экспертного совета, включая председателя Экспертного совета, составляет не менее 9 (девяти) человек.</w:t>
      </w:r>
    </w:p>
    <w:p w:rsidR="008C4269" w:rsidRDefault="008C4269">
      <w:pPr>
        <w:pStyle w:val="ConsPlusNormal"/>
        <w:jc w:val="both"/>
      </w:pPr>
      <w:r>
        <w:t>(</w:t>
      </w:r>
      <w:proofErr w:type="gramStart"/>
      <w:r>
        <w:t>п</w:t>
      </w:r>
      <w:proofErr w:type="gramEnd"/>
      <w:r>
        <w:t xml:space="preserve">. 1.3 в ред. </w:t>
      </w:r>
      <w:hyperlink r:id="rId16" w:history="1">
        <w:r>
          <w:rPr>
            <w:color w:val="0000FF"/>
          </w:rPr>
          <w:t>Приказа</w:t>
        </w:r>
      </w:hyperlink>
      <w:r>
        <w:t xml:space="preserve"> комитета по печати и связям с общественностью Ленинградской области от 29.03.2019 N 15)</w:t>
      </w:r>
    </w:p>
    <w:p w:rsidR="008C4269" w:rsidRDefault="008C4269">
      <w:pPr>
        <w:pStyle w:val="ConsPlusNormal"/>
        <w:spacing w:before="220"/>
        <w:ind w:firstLine="540"/>
        <w:jc w:val="both"/>
      </w:pPr>
      <w:r>
        <w:t>1.4. Ротация состава Экспертного совета проводится ежегодно на одну треть при условии, что член Экспертного совета не может входить в его состав более 3 лет подряд.</w:t>
      </w:r>
    </w:p>
    <w:p w:rsidR="008C4269" w:rsidRDefault="008C4269">
      <w:pPr>
        <w:pStyle w:val="ConsPlusNormal"/>
        <w:jc w:val="both"/>
      </w:pPr>
      <w:r>
        <w:t>(</w:t>
      </w:r>
      <w:proofErr w:type="gramStart"/>
      <w:r>
        <w:t>п</w:t>
      </w:r>
      <w:proofErr w:type="gramEnd"/>
      <w:r>
        <w:t xml:space="preserve">. 1.4 введен </w:t>
      </w:r>
      <w:hyperlink r:id="rId17" w:history="1">
        <w:r>
          <w:rPr>
            <w:color w:val="0000FF"/>
          </w:rPr>
          <w:t>Приказом</w:t>
        </w:r>
      </w:hyperlink>
      <w:r>
        <w:t xml:space="preserve"> комитета по печати и связям с общественностью Ленинградской области </w:t>
      </w:r>
      <w:r>
        <w:lastRenderedPageBreak/>
        <w:t>от 01.08.2018 N 16)</w:t>
      </w:r>
    </w:p>
    <w:p w:rsidR="008C4269" w:rsidRDefault="008C4269">
      <w:pPr>
        <w:pStyle w:val="ConsPlusNormal"/>
        <w:ind w:firstLine="540"/>
        <w:jc w:val="both"/>
      </w:pPr>
    </w:p>
    <w:p w:rsidR="008C4269" w:rsidRDefault="008C4269">
      <w:pPr>
        <w:pStyle w:val="ConsPlusTitle"/>
        <w:ind w:firstLine="540"/>
        <w:jc w:val="both"/>
        <w:outlineLvl w:val="1"/>
      </w:pPr>
      <w:r>
        <w:t>2. Полномочия Экспертного совета</w:t>
      </w:r>
    </w:p>
    <w:p w:rsidR="008C4269" w:rsidRDefault="008C4269">
      <w:pPr>
        <w:pStyle w:val="ConsPlusNormal"/>
        <w:ind w:firstLine="540"/>
        <w:jc w:val="both"/>
      </w:pPr>
    </w:p>
    <w:p w:rsidR="008C4269" w:rsidRDefault="008C4269">
      <w:pPr>
        <w:pStyle w:val="ConsPlusNormal"/>
        <w:ind w:firstLine="540"/>
        <w:jc w:val="both"/>
      </w:pPr>
      <w:r>
        <w:t>2.1. Член Экспертного совета:</w:t>
      </w:r>
    </w:p>
    <w:p w:rsidR="008C4269" w:rsidRDefault="008C4269">
      <w:pPr>
        <w:pStyle w:val="ConsPlusNormal"/>
        <w:spacing w:before="220"/>
        <w:ind w:firstLine="540"/>
        <w:jc w:val="both"/>
      </w:pPr>
      <w:r>
        <w:t>2.1.1. участвует в заседаниях Экспертного совета лично;</w:t>
      </w:r>
    </w:p>
    <w:p w:rsidR="008C4269" w:rsidRDefault="008C4269">
      <w:pPr>
        <w:pStyle w:val="ConsPlusNormal"/>
        <w:spacing w:before="220"/>
        <w:ind w:firstLine="540"/>
        <w:jc w:val="both"/>
      </w:pPr>
      <w:r>
        <w:t>2.1.2. имеет право голоса на заседаниях Экспертного совета, в том числе при принятии решения о соответствии соискателей категориям и критериям отбора получателей субсидий;</w:t>
      </w:r>
    </w:p>
    <w:p w:rsidR="008C4269" w:rsidRDefault="008C4269">
      <w:pPr>
        <w:pStyle w:val="ConsPlusNormal"/>
        <w:spacing w:before="220"/>
        <w:ind w:firstLine="540"/>
        <w:jc w:val="both"/>
      </w:pPr>
      <w:r>
        <w:t>2.1.3. осуществляет рассмотрение и оценку заявок СО НКО на участие в конкурсном отборе и иных приложенных к заявке документов;</w:t>
      </w:r>
    </w:p>
    <w:p w:rsidR="008C4269" w:rsidRDefault="008C4269">
      <w:pPr>
        <w:pStyle w:val="ConsPlusNormal"/>
        <w:spacing w:before="220"/>
        <w:ind w:firstLine="540"/>
        <w:jc w:val="both"/>
      </w:pPr>
      <w:r>
        <w:t>2.1.4. имеет право внести предложение об уменьшении сметы на реализацию проекта СО НКО, но не более чем на 40% от запрашиваемой суммы;</w:t>
      </w:r>
    </w:p>
    <w:p w:rsidR="008C4269" w:rsidRDefault="008C4269">
      <w:pPr>
        <w:pStyle w:val="ConsPlusNormal"/>
        <w:spacing w:before="220"/>
        <w:ind w:firstLine="540"/>
        <w:jc w:val="both"/>
      </w:pPr>
      <w:r>
        <w:t>2.1.5. имеет право задавать вопросы представителям СО НКО по вопросам реализации представляемого проекта.</w:t>
      </w:r>
    </w:p>
    <w:p w:rsidR="008C4269" w:rsidRDefault="008C4269">
      <w:pPr>
        <w:pStyle w:val="ConsPlusNormal"/>
        <w:spacing w:before="220"/>
        <w:ind w:firstLine="540"/>
        <w:jc w:val="both"/>
      </w:pPr>
      <w:r>
        <w:t>2.2. Председатель Экспертного совета:</w:t>
      </w:r>
    </w:p>
    <w:p w:rsidR="008C4269" w:rsidRDefault="008C4269">
      <w:pPr>
        <w:pStyle w:val="ConsPlusNormal"/>
        <w:spacing w:before="220"/>
        <w:ind w:firstLine="540"/>
        <w:jc w:val="both"/>
      </w:pPr>
      <w:r>
        <w:t>2.2.1. осуществляет полномочия члена Экспертного совета;</w:t>
      </w:r>
    </w:p>
    <w:p w:rsidR="008C4269" w:rsidRDefault="008C4269">
      <w:pPr>
        <w:pStyle w:val="ConsPlusNormal"/>
        <w:spacing w:before="220"/>
        <w:ind w:firstLine="540"/>
        <w:jc w:val="both"/>
      </w:pPr>
      <w:r>
        <w:t>2.2.2. руководит деятельностью Экспертного совета;</w:t>
      </w:r>
    </w:p>
    <w:p w:rsidR="008C4269" w:rsidRDefault="008C4269">
      <w:pPr>
        <w:pStyle w:val="ConsPlusNormal"/>
        <w:spacing w:before="220"/>
        <w:ind w:firstLine="540"/>
        <w:jc w:val="both"/>
      </w:pPr>
      <w:r>
        <w:t>2.2.3. ведет заседания Экспертного совета;</w:t>
      </w:r>
    </w:p>
    <w:p w:rsidR="008C4269" w:rsidRDefault="008C4269">
      <w:pPr>
        <w:pStyle w:val="ConsPlusNormal"/>
        <w:spacing w:before="220"/>
        <w:ind w:firstLine="540"/>
        <w:jc w:val="both"/>
      </w:pPr>
      <w:r>
        <w:t>2.2.4. подписывает протоколы заседаний Экспертного совета;</w:t>
      </w:r>
    </w:p>
    <w:p w:rsidR="008C4269" w:rsidRDefault="008C4269">
      <w:pPr>
        <w:pStyle w:val="ConsPlusNormal"/>
        <w:spacing w:before="220"/>
        <w:ind w:firstLine="540"/>
        <w:jc w:val="both"/>
      </w:pPr>
      <w:r>
        <w:t>2.2.5. обладает правом решающего голоса в случае равенства голосов при проведении голосования на заседаниях Экспертного совета.</w:t>
      </w:r>
    </w:p>
    <w:p w:rsidR="008C4269" w:rsidRDefault="008C4269">
      <w:pPr>
        <w:pStyle w:val="ConsPlusNormal"/>
        <w:spacing w:before="220"/>
        <w:ind w:firstLine="540"/>
        <w:jc w:val="both"/>
      </w:pPr>
      <w:r>
        <w:t>2.3. Секретарь Экспертного совета:</w:t>
      </w:r>
    </w:p>
    <w:p w:rsidR="008C4269" w:rsidRDefault="008C4269">
      <w:pPr>
        <w:pStyle w:val="ConsPlusNormal"/>
        <w:spacing w:before="220"/>
        <w:ind w:firstLine="540"/>
        <w:jc w:val="both"/>
      </w:pPr>
      <w:r>
        <w:t>2.3.1. извещает членов Экспертного совета о времени и месте проведения заседаний;</w:t>
      </w:r>
    </w:p>
    <w:p w:rsidR="008C4269" w:rsidRDefault="008C4269">
      <w:pPr>
        <w:pStyle w:val="ConsPlusNormal"/>
        <w:spacing w:before="220"/>
        <w:ind w:firstLine="540"/>
        <w:jc w:val="both"/>
      </w:pPr>
      <w:r>
        <w:t>2.3.2. обеспечивает ознакомление членов Экспертного совета с заявками на участие в конкурсном отборе и иными приложенными к заявкам документами;</w:t>
      </w:r>
    </w:p>
    <w:p w:rsidR="008C4269" w:rsidRDefault="008C4269">
      <w:pPr>
        <w:pStyle w:val="ConsPlusNormal"/>
        <w:spacing w:before="220"/>
        <w:ind w:firstLine="540"/>
        <w:jc w:val="both"/>
      </w:pPr>
      <w:r>
        <w:t>2.3.3. организует проведение заседаний Экспертного совета;</w:t>
      </w:r>
    </w:p>
    <w:p w:rsidR="008C4269" w:rsidRDefault="008C4269">
      <w:pPr>
        <w:pStyle w:val="ConsPlusNormal"/>
        <w:spacing w:before="220"/>
        <w:ind w:firstLine="540"/>
        <w:jc w:val="both"/>
      </w:pPr>
      <w:r>
        <w:t>2.3.4. формирует порядок проведения заседаний Экспертного совета и следит за его соблюдением;</w:t>
      </w:r>
    </w:p>
    <w:p w:rsidR="008C4269" w:rsidRDefault="008C4269">
      <w:pPr>
        <w:pStyle w:val="ConsPlusNormal"/>
        <w:spacing w:before="220"/>
        <w:ind w:firstLine="540"/>
        <w:jc w:val="both"/>
      </w:pPr>
      <w:r>
        <w:t>2.3.5. ведет и подписывает протоколы заседаний Экспертного совета, направляет протоколы заседаний в Комитет не позднее 1 дня после подписания;</w:t>
      </w:r>
    </w:p>
    <w:p w:rsidR="008C4269" w:rsidRDefault="008C4269">
      <w:pPr>
        <w:pStyle w:val="ConsPlusNormal"/>
        <w:spacing w:before="220"/>
        <w:ind w:firstLine="540"/>
        <w:jc w:val="both"/>
      </w:pPr>
      <w:r>
        <w:t>2.3.6. осуществляет подготовку оценочных листов, графика представления проектов, справок и иных материалов для проведения заседаний Экспертного совета;</w:t>
      </w:r>
    </w:p>
    <w:p w:rsidR="008C4269" w:rsidRDefault="008C4269">
      <w:pPr>
        <w:pStyle w:val="ConsPlusNormal"/>
        <w:spacing w:before="220"/>
        <w:ind w:firstLine="540"/>
        <w:jc w:val="both"/>
      </w:pPr>
      <w:r>
        <w:t>2.3.7. по результатам проведенной членами Экспертного совета балльной оценки заявок суммирует баллы по каждой заявке, формирует рейтинг СО НКО в порядке убывания суммарного количества баллов, где СО НКО, чья заявка получила наибольшее количество баллов, занимает наиболее высокую позицию в рейтинге, и представляет его на рассмотрение Экспертному совету.</w:t>
      </w:r>
    </w:p>
    <w:p w:rsidR="008C4269" w:rsidRDefault="008C4269">
      <w:pPr>
        <w:pStyle w:val="ConsPlusNormal"/>
        <w:ind w:firstLine="540"/>
        <w:jc w:val="both"/>
      </w:pPr>
    </w:p>
    <w:p w:rsidR="008C4269" w:rsidRDefault="008C4269">
      <w:pPr>
        <w:pStyle w:val="ConsPlusTitle"/>
        <w:ind w:firstLine="540"/>
        <w:jc w:val="both"/>
        <w:outlineLvl w:val="1"/>
      </w:pPr>
      <w:r>
        <w:t>3. Порядок деятельности Экспертного совета</w:t>
      </w:r>
    </w:p>
    <w:p w:rsidR="008C4269" w:rsidRDefault="008C4269">
      <w:pPr>
        <w:pStyle w:val="ConsPlusNormal"/>
        <w:ind w:firstLine="540"/>
        <w:jc w:val="both"/>
      </w:pPr>
    </w:p>
    <w:p w:rsidR="008C4269" w:rsidRDefault="008C4269">
      <w:pPr>
        <w:pStyle w:val="ConsPlusNormal"/>
        <w:ind w:firstLine="540"/>
        <w:jc w:val="both"/>
      </w:pPr>
      <w:r>
        <w:t>3.1. Дата и время первого заседания Экспертного совета определяются Комитетом.</w:t>
      </w:r>
    </w:p>
    <w:p w:rsidR="008C4269" w:rsidRDefault="008C4269">
      <w:pPr>
        <w:pStyle w:val="ConsPlusNormal"/>
        <w:spacing w:before="220"/>
        <w:ind w:firstLine="540"/>
        <w:jc w:val="both"/>
      </w:pPr>
      <w:r>
        <w:t>3.2. Решения Экспертного совета принимаются простым большинством голосов от числа членов Экспертного совета, участвующих в заседании, путем открытого голосования.</w:t>
      </w:r>
    </w:p>
    <w:p w:rsidR="008C4269" w:rsidRDefault="008C4269">
      <w:pPr>
        <w:pStyle w:val="ConsPlusNormal"/>
        <w:spacing w:before="220"/>
        <w:ind w:firstLine="540"/>
        <w:jc w:val="both"/>
      </w:pPr>
      <w:r>
        <w:t>3.3. Заседание Экспертного совета является правомочным при участии не менее 50 процентов от общего числа его членов.</w:t>
      </w:r>
    </w:p>
    <w:p w:rsidR="008C4269" w:rsidRDefault="008C4269">
      <w:pPr>
        <w:pStyle w:val="ConsPlusNormal"/>
        <w:spacing w:before="220"/>
        <w:ind w:firstLine="540"/>
        <w:jc w:val="both"/>
      </w:pPr>
      <w:r>
        <w:t xml:space="preserve">3.4. В случае если член Экспертного совета лично (прямо или косвенно) заинтересован в итогах конкурса или имеются иные обстоятельства, способные повлиять на участие члена Экспертного совета в работе Экспертного совета, он обязан проинформировать об этом Экспертный совет до начала рассмотрения заявок и прекратить участие в заседании Экспертного совета.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Экспертного совета </w:t>
      </w:r>
      <w:proofErr w:type="gramStart"/>
      <w:r>
        <w:t>и(</w:t>
      </w:r>
      <w:proofErr w:type="gramEnd"/>
      <w:r>
        <w:t xml:space="preserve">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Экспертного совета </w:t>
      </w:r>
      <w:proofErr w:type="gramStart"/>
      <w:r>
        <w:t>и(</w:t>
      </w:r>
      <w:proofErr w:type="gramEnd"/>
      <w:r>
        <w:t>или) лица, состоящие с ним в близком родстве или свойстве, связаны имущественными, корпоративными или иными близкими отношениями.</w:t>
      </w:r>
    </w:p>
    <w:p w:rsidR="008C4269" w:rsidRDefault="008C4269">
      <w:pPr>
        <w:pStyle w:val="ConsPlusNormal"/>
        <w:jc w:val="both"/>
      </w:pPr>
      <w:r>
        <w:t xml:space="preserve">(п. 3.4 в ред. </w:t>
      </w:r>
      <w:hyperlink r:id="rId18" w:history="1">
        <w:r>
          <w:rPr>
            <w:color w:val="0000FF"/>
          </w:rPr>
          <w:t>Приказа</w:t>
        </w:r>
      </w:hyperlink>
      <w:r>
        <w:t xml:space="preserve"> Комитета по печати Ленинградской области от 08.11.2019 N 10)</w:t>
      </w:r>
    </w:p>
    <w:p w:rsidR="008C4269" w:rsidRDefault="008C4269">
      <w:pPr>
        <w:pStyle w:val="ConsPlusNormal"/>
        <w:spacing w:before="220"/>
        <w:ind w:firstLine="540"/>
        <w:jc w:val="both"/>
      </w:pPr>
      <w:r>
        <w:t>3.5. Член Экспертного совета вправе в любое время заявить о выходе из состава Экспертного совета, подав соответствующее заявление в письменной форме председателю Экспертного совета.</w:t>
      </w:r>
    </w:p>
    <w:p w:rsidR="008C4269" w:rsidRDefault="008C4269">
      <w:pPr>
        <w:pStyle w:val="ConsPlusNormal"/>
        <w:spacing w:before="220"/>
        <w:ind w:firstLine="540"/>
        <w:jc w:val="both"/>
      </w:pPr>
      <w:bookmarkStart w:id="1" w:name="P92"/>
      <w:bookmarkEnd w:id="1"/>
      <w:r>
        <w:t>3.6. К обстоятельствам, способным повлиять на участие члена Экспертного совета в работе Экспертного совета, относятся:</w:t>
      </w:r>
    </w:p>
    <w:p w:rsidR="008C4269" w:rsidRDefault="008C4269">
      <w:pPr>
        <w:pStyle w:val="ConsPlusNormal"/>
        <w:spacing w:before="220"/>
        <w:ind w:firstLine="540"/>
        <w:jc w:val="both"/>
      </w:pPr>
      <w:proofErr w:type="gramStart"/>
      <w:r>
        <w:t>3.6.1. участие (в том числе в течение последних 12 месяцев) члена Экспертного совета или его близких родственников в деятельности СО НКО, являющейся участницей конкурсного отбора, в качестве учредителя, члена коллегиального органа, единоличного исполнительного органа или работника;</w:t>
      </w:r>
      <w:proofErr w:type="gramEnd"/>
    </w:p>
    <w:p w:rsidR="008C4269" w:rsidRDefault="008C4269">
      <w:pPr>
        <w:pStyle w:val="ConsPlusNormal"/>
        <w:spacing w:before="220"/>
        <w:ind w:firstLine="540"/>
        <w:jc w:val="both"/>
      </w:pPr>
      <w:r>
        <w:t xml:space="preserve">3.6.2. наличие (в том числе в течение последних 12 месяцев) у члена Экспертного совета или его близких родственников договорных отношений </w:t>
      </w:r>
      <w:proofErr w:type="gramStart"/>
      <w:r>
        <w:t>с</w:t>
      </w:r>
      <w:proofErr w:type="gramEnd"/>
      <w:r>
        <w:t xml:space="preserve"> </w:t>
      </w:r>
      <w:proofErr w:type="gramStart"/>
      <w:r>
        <w:t>СО</w:t>
      </w:r>
      <w:proofErr w:type="gramEnd"/>
      <w:r>
        <w:t xml:space="preserve"> НКО, являющейся участницей конкурсного отбора;</w:t>
      </w:r>
    </w:p>
    <w:p w:rsidR="008C4269" w:rsidRDefault="008C4269">
      <w:pPr>
        <w:pStyle w:val="ConsPlusNormal"/>
        <w:spacing w:before="220"/>
        <w:ind w:firstLine="540"/>
        <w:jc w:val="both"/>
      </w:pPr>
      <w:r>
        <w:t xml:space="preserve">3.6.3. получение (в том числе в течение последних 12 месяцев) членом Экспертного совета или его близкими родственниками денежных средств, иного имущества, материальной выгоды (в том числе в виде безвозмездно полученных работ, услуг) </w:t>
      </w:r>
      <w:proofErr w:type="gramStart"/>
      <w:r>
        <w:t>от</w:t>
      </w:r>
      <w:proofErr w:type="gramEnd"/>
      <w:r>
        <w:t xml:space="preserve"> </w:t>
      </w:r>
      <w:proofErr w:type="gramStart"/>
      <w:r>
        <w:t>СО</w:t>
      </w:r>
      <w:proofErr w:type="gramEnd"/>
      <w:r>
        <w:t xml:space="preserve"> НКО, являющейся участницей конкурсного отбора;</w:t>
      </w:r>
    </w:p>
    <w:p w:rsidR="008C4269" w:rsidRDefault="008C4269">
      <w:pPr>
        <w:pStyle w:val="ConsPlusNormal"/>
        <w:spacing w:before="220"/>
        <w:ind w:firstLine="540"/>
        <w:jc w:val="both"/>
      </w:pPr>
      <w:r>
        <w:t xml:space="preserve">3.6.4. наличие (в том числе в течение последних 12 месяцев) у члена Экспертного совета или его близких родственников судебных споров </w:t>
      </w:r>
      <w:proofErr w:type="gramStart"/>
      <w:r>
        <w:t>с</w:t>
      </w:r>
      <w:proofErr w:type="gramEnd"/>
      <w:r>
        <w:t xml:space="preserve"> </w:t>
      </w:r>
      <w:proofErr w:type="gramStart"/>
      <w:r>
        <w:t>СО</w:t>
      </w:r>
      <w:proofErr w:type="gramEnd"/>
      <w:r>
        <w:t xml:space="preserve"> НКО, являющейся участницей конкурсного отбора, ее учредителем или руководителем;</w:t>
      </w:r>
    </w:p>
    <w:p w:rsidR="008C4269" w:rsidRDefault="008C4269">
      <w:pPr>
        <w:pStyle w:val="ConsPlusNormal"/>
        <w:spacing w:before="220"/>
        <w:ind w:firstLine="540"/>
        <w:jc w:val="both"/>
      </w:pPr>
      <w:r>
        <w:t>3.6.5. участие (в том числе в течение последних 12 месяцев) члена Экспертного совета в работе СО НКО, являющейся участницей конкурсного отбора, в качестве добровольца;</w:t>
      </w:r>
    </w:p>
    <w:p w:rsidR="008C4269" w:rsidRDefault="008C4269">
      <w:pPr>
        <w:pStyle w:val="ConsPlusNormal"/>
        <w:spacing w:before="220"/>
        <w:ind w:firstLine="540"/>
        <w:jc w:val="both"/>
      </w:pPr>
      <w:r>
        <w:t>3.6.6. оказание членом Экспертного совета содействия СО НКО, являющейся участницей конкурсного отбора,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rsidR="008C4269" w:rsidRDefault="008C4269">
      <w:pPr>
        <w:pStyle w:val="ConsPlusNormal"/>
        <w:spacing w:before="220"/>
        <w:ind w:firstLine="540"/>
        <w:jc w:val="both"/>
      </w:pPr>
      <w:r>
        <w:t xml:space="preserve">3.6.7. иные обстоятельства, при которых возникает или может возникнуть противоречие </w:t>
      </w:r>
      <w:r>
        <w:lastRenderedPageBreak/>
        <w:t>между личной заинтересованностью члена Экспертного совета и функциями Экспертного совета.</w:t>
      </w:r>
    </w:p>
    <w:p w:rsidR="008C4269" w:rsidRDefault="008C4269">
      <w:pPr>
        <w:pStyle w:val="ConsPlusNormal"/>
        <w:spacing w:before="220"/>
        <w:ind w:firstLine="540"/>
        <w:jc w:val="both"/>
      </w:pPr>
      <w:r>
        <w:t xml:space="preserve">3.7. При наличии обстоятельств, указанных в </w:t>
      </w:r>
      <w:hyperlink w:anchor="P92" w:history="1">
        <w:r>
          <w:rPr>
            <w:color w:val="0000FF"/>
          </w:rPr>
          <w:t>пункте 3.6</w:t>
        </w:r>
      </w:hyperlink>
      <w:r>
        <w:t xml:space="preserve"> настоящего Положения, Экспертный совет рассматривает вопрос об исключении члена из состава Экспертного совета.</w:t>
      </w:r>
    </w:p>
    <w:p w:rsidR="008C4269" w:rsidRDefault="008C4269">
      <w:pPr>
        <w:pStyle w:val="ConsPlusNormal"/>
        <w:jc w:val="both"/>
      </w:pPr>
      <w:r>
        <w:t xml:space="preserve">(в ред. </w:t>
      </w:r>
      <w:hyperlink r:id="rId19" w:history="1">
        <w:r>
          <w:rPr>
            <w:color w:val="0000FF"/>
          </w:rPr>
          <w:t>Приказа</w:t>
        </w:r>
      </w:hyperlink>
      <w:r>
        <w:t xml:space="preserve"> комитета по печати и связям с общественностью Ленинградской области от 29.03.2019 N 15)</w:t>
      </w:r>
    </w:p>
    <w:p w:rsidR="008C4269" w:rsidRDefault="008C4269">
      <w:pPr>
        <w:pStyle w:val="ConsPlusNormal"/>
        <w:ind w:firstLine="540"/>
        <w:jc w:val="both"/>
      </w:pPr>
    </w:p>
    <w:p w:rsidR="008C4269" w:rsidRDefault="008C4269">
      <w:pPr>
        <w:pStyle w:val="ConsPlusTitle"/>
        <w:ind w:firstLine="540"/>
        <w:jc w:val="both"/>
        <w:outlineLvl w:val="1"/>
      </w:pPr>
      <w:r>
        <w:t>4. Порядок рассмотрения и оценки заявок Экспертным советом</w:t>
      </w:r>
    </w:p>
    <w:p w:rsidR="008C4269" w:rsidRDefault="008C4269">
      <w:pPr>
        <w:pStyle w:val="ConsPlusNormal"/>
        <w:ind w:firstLine="540"/>
        <w:jc w:val="both"/>
      </w:pPr>
      <w:r>
        <w:t xml:space="preserve">(в ред. </w:t>
      </w:r>
      <w:hyperlink r:id="rId20" w:history="1">
        <w:r>
          <w:rPr>
            <w:color w:val="0000FF"/>
          </w:rPr>
          <w:t>Приказа</w:t>
        </w:r>
      </w:hyperlink>
      <w:r>
        <w:t xml:space="preserve"> комитета по печати и связям с общественностью Ленинградской области от 29.03.2019 N 15)</w:t>
      </w:r>
    </w:p>
    <w:p w:rsidR="008C4269" w:rsidRDefault="008C4269">
      <w:pPr>
        <w:pStyle w:val="ConsPlusNormal"/>
        <w:ind w:firstLine="540"/>
        <w:jc w:val="both"/>
      </w:pPr>
    </w:p>
    <w:p w:rsidR="008C4269" w:rsidRDefault="008C4269">
      <w:pPr>
        <w:pStyle w:val="ConsPlusNormal"/>
        <w:ind w:firstLine="540"/>
        <w:jc w:val="both"/>
      </w:pPr>
      <w:r>
        <w:t>4.1. СО НКО вправе представить не более одной заявки на участие в конкурсном отборе.</w:t>
      </w:r>
    </w:p>
    <w:p w:rsidR="008C4269" w:rsidRDefault="008C4269">
      <w:pPr>
        <w:pStyle w:val="ConsPlusNormal"/>
        <w:spacing w:before="220"/>
        <w:ind w:firstLine="540"/>
        <w:jc w:val="both"/>
      </w:pPr>
      <w:r>
        <w:t>4.2. Заявки на участие в конкурсном отборе, поступающие в Комитет, должны относиться к одной из представленных категорий:</w:t>
      </w:r>
    </w:p>
    <w:p w:rsidR="008C4269" w:rsidRDefault="008C4269">
      <w:pPr>
        <w:pStyle w:val="ConsPlusNormal"/>
        <w:spacing w:before="220"/>
        <w:ind w:firstLine="540"/>
        <w:jc w:val="both"/>
      </w:pPr>
      <w:proofErr w:type="gramStart"/>
      <w:r>
        <w:t>а) первая категория ("большая субсидия для ресурсного центра") - заявка на участие в конкурсном отборе по проекту регионального значения с проведением мероприятий для СО НКО из 18 (восемнадцати) муниципальных районов (городского округа) Ленинградской области и/или с проведением мероприятий для СО НКО на территории не менее 18 (восемнадцати) муниципальных районов (городского округа) Ленинградской области, размер субсидии - более 2000000 рублей до 3000000</w:t>
      </w:r>
      <w:proofErr w:type="gramEnd"/>
      <w:r>
        <w:t xml:space="preserve"> рублей (включительно);</w:t>
      </w:r>
    </w:p>
    <w:p w:rsidR="008C4269" w:rsidRDefault="008C4269">
      <w:pPr>
        <w:pStyle w:val="ConsPlusNormal"/>
        <w:spacing w:before="220"/>
        <w:ind w:firstLine="540"/>
        <w:jc w:val="both"/>
      </w:pPr>
      <w:proofErr w:type="gramStart"/>
      <w:r>
        <w:t>б) вторая категория ("средняя субсидия для ресурсного центра") - заявка на участие в конкурсном отборе по проекту межмуниципального значения с проведением мероприятий для СО НКО не менее 9 (девяти) муниципальных районов (городского округа) Ленинградской области и/или с проведением мероприятий для СО НКО на территории не менее 9 (девяти) муниципальных районов (городского округа) Ленинградской области, размер субсидии - более 1000000 рублей до</w:t>
      </w:r>
      <w:proofErr w:type="gramEnd"/>
      <w:r>
        <w:t xml:space="preserve"> 2000000 рублей (включительно);</w:t>
      </w:r>
    </w:p>
    <w:p w:rsidR="008C4269" w:rsidRDefault="008C4269">
      <w:pPr>
        <w:pStyle w:val="ConsPlusNormal"/>
        <w:spacing w:before="220"/>
        <w:ind w:firstLine="540"/>
        <w:jc w:val="both"/>
      </w:pPr>
      <w:proofErr w:type="gramStart"/>
      <w:r>
        <w:t>в) третья категория ("малая субсидия для ресурсного центра") - заявка на участие в конкурсном отборе по проекту межмуниципального значения с проведением мероприятий для СО НКО не менее 3 (трех) муниципальных районов (городского округа) Ленинградской области и/или с проведением мероприятий для СО НКО на территории не менее 3 (трех) муниципальных районов (городского округа) Ленинградской области, размер субсидии - до 1000000 рублей (включительно).</w:t>
      </w:r>
      <w:proofErr w:type="gramEnd"/>
    </w:p>
    <w:p w:rsidR="008C4269" w:rsidRDefault="008C4269">
      <w:pPr>
        <w:pStyle w:val="ConsPlusNormal"/>
        <w:spacing w:before="220"/>
        <w:ind w:firstLine="540"/>
        <w:jc w:val="both"/>
      </w:pPr>
      <w:r>
        <w:t xml:space="preserve">4.3. В срок не позднее 10 (десяти) рабочих дней </w:t>
      </w:r>
      <w:proofErr w:type="gramStart"/>
      <w:r>
        <w:t>с даты окончания</w:t>
      </w:r>
      <w:proofErr w:type="gramEnd"/>
      <w:r>
        <w:t xml:space="preserve"> срока приема заявок Комитет направляет заявки на участие в конкурсном отборе для рассмотрения в Экспертный совет.</w:t>
      </w:r>
    </w:p>
    <w:p w:rsidR="008C4269" w:rsidRDefault="008C4269">
      <w:pPr>
        <w:pStyle w:val="ConsPlusNormal"/>
        <w:spacing w:before="220"/>
        <w:ind w:firstLine="540"/>
        <w:jc w:val="both"/>
      </w:pPr>
      <w:r>
        <w:t xml:space="preserve">4.4. Экспертный совет рассматривает поступившие заявки на предмет соответствия требованиям </w:t>
      </w:r>
      <w:hyperlink r:id="rId21" w:history="1">
        <w:r>
          <w:rPr>
            <w:color w:val="0000FF"/>
          </w:rPr>
          <w:t>Порядка</w:t>
        </w:r>
      </w:hyperlink>
      <w:r>
        <w:t xml:space="preserve"> определения объема и предоставления субсидий из областного бюджета Ленинградской области СО НКО на реализацию проектов, утвержденного постановлением Правительства Ленинградской области от 15 февраля 2018 года N 46 (далее - Порядок предоставления субсидий).</w:t>
      </w:r>
    </w:p>
    <w:p w:rsidR="008C4269" w:rsidRDefault="008C4269">
      <w:pPr>
        <w:pStyle w:val="ConsPlusNormal"/>
        <w:spacing w:before="220"/>
        <w:ind w:firstLine="540"/>
        <w:jc w:val="both"/>
      </w:pPr>
      <w:r>
        <w:t xml:space="preserve">4.4.1. В случае выявления нарушений, являющихся основаниями для отказа в предоставлении субсидии, указанными в </w:t>
      </w:r>
      <w:hyperlink r:id="rId22" w:history="1">
        <w:r>
          <w:rPr>
            <w:color w:val="0000FF"/>
          </w:rPr>
          <w:t>пункте 4.13</w:t>
        </w:r>
      </w:hyperlink>
      <w:r>
        <w:t xml:space="preserve"> Порядка предоставления субсидий, Экспертный совет принимает решение об отказе в предоставлении субсидии соискателю, претендующему на получение субсидии. К дальнейшему представлению проекта такой соискатель не допускается, о чем делается запись в протоколе.</w:t>
      </w:r>
    </w:p>
    <w:p w:rsidR="008C4269" w:rsidRDefault="008C4269">
      <w:pPr>
        <w:pStyle w:val="ConsPlusNormal"/>
        <w:spacing w:before="220"/>
        <w:ind w:firstLine="540"/>
        <w:jc w:val="both"/>
      </w:pPr>
      <w:r>
        <w:t>4.4.2. СО НКО, чьи заявки признаны Экспертным советом соответствующими категориям и критериям отбора получателей субсидий, допускаются к представлению проектов.</w:t>
      </w:r>
    </w:p>
    <w:p w:rsidR="008C4269" w:rsidRDefault="008C4269">
      <w:pPr>
        <w:pStyle w:val="ConsPlusNormal"/>
        <w:spacing w:before="220"/>
        <w:ind w:firstLine="540"/>
        <w:jc w:val="both"/>
      </w:pPr>
      <w:r>
        <w:lastRenderedPageBreak/>
        <w:t>4.5. Представление проекта проводится СО НКО в форме презентации, в рамках которой разъясняются цели, задачи проекта, ожидаемые результаты от реализации проекта, а также ресурсное обеспечение проекта (имеющиеся кадровые, материальные и технические ресурсы, объем запрашиваемых средств и их планируемое распределение по статьям расходов).</w:t>
      </w:r>
    </w:p>
    <w:p w:rsidR="008C4269" w:rsidRDefault="008C4269">
      <w:pPr>
        <w:pStyle w:val="ConsPlusNormal"/>
        <w:spacing w:before="220"/>
        <w:ind w:firstLine="540"/>
        <w:jc w:val="both"/>
      </w:pPr>
      <w:r>
        <w:t xml:space="preserve">4.6. Оценка заявок проводится членами Экспертного совета </w:t>
      </w:r>
      <w:proofErr w:type="gramStart"/>
      <w:r>
        <w:t xml:space="preserve">по итогам представления СО НКО проектов посредством заполнения оценочных листов в соответствии с </w:t>
      </w:r>
      <w:hyperlink w:anchor="P173" w:history="1">
        <w:r>
          <w:rPr>
            <w:color w:val="0000FF"/>
          </w:rPr>
          <w:t>критериями</w:t>
        </w:r>
      </w:hyperlink>
      <w:r>
        <w:t xml:space="preserve"> оценки заявок на получение</w:t>
      </w:r>
      <w:proofErr w:type="gramEnd"/>
      <w:r>
        <w:t xml:space="preserve"> субсидий (приложение 2 к настоящему Приказу).</w:t>
      </w:r>
    </w:p>
    <w:p w:rsidR="008C4269" w:rsidRDefault="008C4269">
      <w:pPr>
        <w:pStyle w:val="ConsPlusNormal"/>
        <w:spacing w:before="220"/>
        <w:ind w:firstLine="540"/>
        <w:jc w:val="both"/>
      </w:pPr>
      <w:r>
        <w:t>4.7. По результатам проведенной оценки заявок секретарь Экспертного совета высчитывает средний балл по каждой заявке по следующей формуле:</w:t>
      </w:r>
    </w:p>
    <w:p w:rsidR="008C4269" w:rsidRDefault="008C4269">
      <w:pPr>
        <w:pStyle w:val="ConsPlusNormal"/>
        <w:ind w:firstLine="540"/>
        <w:jc w:val="both"/>
      </w:pPr>
    </w:p>
    <w:p w:rsidR="008C4269" w:rsidRDefault="008C4269">
      <w:pPr>
        <w:pStyle w:val="ConsPlusNormal"/>
        <w:ind w:firstLine="540"/>
        <w:jc w:val="both"/>
      </w:pPr>
      <w:r w:rsidRPr="00113E7B">
        <w:rPr>
          <w:position w:val="-23"/>
        </w:rPr>
        <w:pict>
          <v:shape id="_x0000_i1025" style="width:178.45pt;height:34.45pt" coordsize="" o:spt="100" adj="0,,0" path="" filled="f" stroked="f">
            <v:stroke joinstyle="miter"/>
            <v:imagedata r:id="rId23" o:title="base_25_219130_32768"/>
            <v:formulas/>
            <v:path o:connecttype="segments"/>
          </v:shape>
        </w:pict>
      </w:r>
    </w:p>
    <w:p w:rsidR="008C4269" w:rsidRDefault="008C4269">
      <w:pPr>
        <w:pStyle w:val="ConsPlusNormal"/>
        <w:ind w:firstLine="540"/>
        <w:jc w:val="both"/>
      </w:pPr>
    </w:p>
    <w:p w:rsidR="008C4269" w:rsidRDefault="008C4269">
      <w:pPr>
        <w:pStyle w:val="ConsPlusNormal"/>
        <w:ind w:firstLine="540"/>
        <w:jc w:val="both"/>
      </w:pPr>
      <w:r>
        <w:t>M - средний балл по представленной заявке (округляется до тысячных);</w:t>
      </w:r>
    </w:p>
    <w:p w:rsidR="008C4269" w:rsidRDefault="008C4269">
      <w:pPr>
        <w:pStyle w:val="ConsPlusNormal"/>
        <w:spacing w:before="220"/>
        <w:ind w:firstLine="540"/>
        <w:jc w:val="both"/>
      </w:pPr>
      <w:r>
        <w:t>X1 - количество баллов, поставленных членом Экспертного совета N 1;</w:t>
      </w:r>
    </w:p>
    <w:p w:rsidR="008C4269" w:rsidRDefault="008C4269">
      <w:pPr>
        <w:pStyle w:val="ConsPlusNormal"/>
        <w:spacing w:before="220"/>
        <w:ind w:firstLine="540"/>
        <w:jc w:val="both"/>
      </w:pPr>
      <w:r>
        <w:t>X2 - количество баллов, поставленных членом Экспертного совета N 2;</w:t>
      </w:r>
    </w:p>
    <w:p w:rsidR="008C4269" w:rsidRDefault="008C4269">
      <w:pPr>
        <w:pStyle w:val="ConsPlusNormal"/>
        <w:spacing w:before="220"/>
        <w:ind w:firstLine="540"/>
        <w:jc w:val="both"/>
      </w:pPr>
      <w:r>
        <w:t>X3 - количество баллов, поставленных членом Экспертного совета N 3;</w:t>
      </w:r>
    </w:p>
    <w:p w:rsidR="008C4269" w:rsidRDefault="008C4269">
      <w:pPr>
        <w:pStyle w:val="ConsPlusNormal"/>
        <w:spacing w:before="220"/>
        <w:ind w:firstLine="540"/>
        <w:jc w:val="both"/>
      </w:pPr>
      <w:r>
        <w:t>n - количество членов Экспертного совета, оценивших заявку.</w:t>
      </w:r>
    </w:p>
    <w:p w:rsidR="008C4269" w:rsidRDefault="008C4269">
      <w:pPr>
        <w:pStyle w:val="ConsPlusNormal"/>
        <w:ind w:firstLine="540"/>
        <w:jc w:val="both"/>
      </w:pPr>
    </w:p>
    <w:p w:rsidR="008C4269" w:rsidRDefault="008C4269">
      <w:pPr>
        <w:pStyle w:val="ConsPlusNormal"/>
        <w:ind w:firstLine="540"/>
        <w:jc w:val="both"/>
      </w:pPr>
      <w:r>
        <w:t>4.8. Секретарь Экспертного совета формирует рейтинг СО НКО в порядке убывания среднего количества баллов, где СО НКО, чья заявка получила наиболее высокий средний балл, занимает наиболее высокую позицию в рейтинге. Сформированный рейтинг представляется на рассмотрение Экспертного совета.</w:t>
      </w:r>
    </w:p>
    <w:p w:rsidR="008C4269" w:rsidRDefault="008C4269">
      <w:pPr>
        <w:pStyle w:val="ConsPlusNormal"/>
        <w:spacing w:before="220"/>
        <w:ind w:firstLine="540"/>
        <w:jc w:val="both"/>
      </w:pPr>
      <w:r>
        <w:t>4.9. Победителями конкурсного отбора признаются СО НКО, заявки которых заняли наиболее высокую позицию в рейтинге. Количество победителей конкурсного отбора определяется с учетом объема бюджетных ассигнований, утвержденных Комитету в сводной бюджетной росписи областного бюджета на соответствующий финансовый год.</w:t>
      </w:r>
    </w:p>
    <w:p w:rsidR="008C4269" w:rsidRDefault="008C4269">
      <w:pPr>
        <w:pStyle w:val="ConsPlusNormal"/>
        <w:spacing w:before="220"/>
        <w:ind w:firstLine="540"/>
        <w:jc w:val="both"/>
      </w:pPr>
      <w:r>
        <w:t xml:space="preserve">4.10. В случае если по результатам проведенной оценки проекта по общим критериям среднее количество баллов СО НКО составляет 15 баллов и менее, СО НКО не может быть </w:t>
      </w:r>
      <w:proofErr w:type="gramStart"/>
      <w:r>
        <w:t>признана</w:t>
      </w:r>
      <w:proofErr w:type="gramEnd"/>
      <w:r>
        <w:t xml:space="preserve"> победителем конкурсного отбора.</w:t>
      </w:r>
    </w:p>
    <w:p w:rsidR="008C4269" w:rsidRDefault="008C4269">
      <w:pPr>
        <w:pStyle w:val="ConsPlusNormal"/>
        <w:spacing w:before="220"/>
        <w:ind w:firstLine="540"/>
        <w:jc w:val="both"/>
      </w:pPr>
      <w:r>
        <w:t xml:space="preserve">4.11. В соответствии с </w:t>
      </w:r>
      <w:hyperlink r:id="rId24" w:history="1">
        <w:r>
          <w:rPr>
            <w:color w:val="0000FF"/>
          </w:rPr>
          <w:t>пунктом 5.2</w:t>
        </w:r>
      </w:hyperlink>
      <w:r>
        <w:t xml:space="preserve"> Порядка предоставления субсидий Комитет имеет право объявить дополнительный конкурсный отбор в пределах высвободившихся средств.</w:t>
      </w: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8C4269" w:rsidRDefault="008C4269">
      <w:pPr>
        <w:pStyle w:val="ConsPlusNormal"/>
        <w:jc w:val="right"/>
      </w:pPr>
    </w:p>
    <w:p w:rsidR="008C4269" w:rsidRDefault="008C4269">
      <w:pPr>
        <w:pStyle w:val="ConsPlusNormal"/>
        <w:jc w:val="right"/>
        <w:outlineLvl w:val="1"/>
      </w:pPr>
      <w:r>
        <w:lastRenderedPageBreak/>
        <w:t>Приложение 1</w:t>
      </w:r>
    </w:p>
    <w:p w:rsidR="008C4269" w:rsidRDefault="008C4269">
      <w:pPr>
        <w:pStyle w:val="ConsPlusNormal"/>
        <w:jc w:val="right"/>
      </w:pPr>
      <w:r>
        <w:t>к Положению</w:t>
      </w:r>
    </w:p>
    <w:p w:rsidR="008C4269" w:rsidRDefault="008C4269">
      <w:pPr>
        <w:pStyle w:val="ConsPlusNormal"/>
        <w:ind w:firstLine="540"/>
        <w:jc w:val="both"/>
      </w:pPr>
    </w:p>
    <w:p w:rsidR="008C4269" w:rsidRDefault="008C4269">
      <w:pPr>
        <w:pStyle w:val="ConsPlusNormal"/>
        <w:jc w:val="center"/>
      </w:pPr>
      <w:r>
        <w:t>ЗАЯВЛЕНИЕ</w:t>
      </w:r>
    </w:p>
    <w:p w:rsidR="008C4269" w:rsidRDefault="008C4269">
      <w:pPr>
        <w:pStyle w:val="ConsPlusNormal"/>
        <w:jc w:val="center"/>
      </w:pPr>
      <w:r>
        <w:t>на предоставление субсидии социально ориентированной</w:t>
      </w:r>
    </w:p>
    <w:p w:rsidR="008C4269" w:rsidRDefault="008C4269">
      <w:pPr>
        <w:pStyle w:val="ConsPlusNormal"/>
        <w:jc w:val="center"/>
      </w:pPr>
      <w:r>
        <w:t xml:space="preserve">некоммерческой организации, выполняющей функции </w:t>
      </w:r>
      <w:proofErr w:type="gramStart"/>
      <w:r>
        <w:t>ресурсного</w:t>
      </w:r>
      <w:proofErr w:type="gramEnd"/>
    </w:p>
    <w:p w:rsidR="008C4269" w:rsidRDefault="008C4269">
      <w:pPr>
        <w:pStyle w:val="ConsPlusNormal"/>
        <w:jc w:val="center"/>
      </w:pPr>
      <w:r>
        <w:t xml:space="preserve">центра поддержки деятельности социально </w:t>
      </w:r>
      <w:proofErr w:type="gramStart"/>
      <w:r>
        <w:t>ориентированных</w:t>
      </w:r>
      <w:proofErr w:type="gramEnd"/>
    </w:p>
    <w:p w:rsidR="008C4269" w:rsidRDefault="008C4269">
      <w:pPr>
        <w:pStyle w:val="ConsPlusNormal"/>
        <w:jc w:val="center"/>
      </w:pPr>
      <w:r>
        <w:t>некоммерческих организаций на территории</w:t>
      </w:r>
    </w:p>
    <w:p w:rsidR="008C4269" w:rsidRDefault="008C4269">
      <w:pPr>
        <w:pStyle w:val="ConsPlusNormal"/>
        <w:jc w:val="center"/>
      </w:pPr>
      <w:r>
        <w:t>Ленинградской области</w:t>
      </w:r>
    </w:p>
    <w:p w:rsidR="008C4269" w:rsidRDefault="008C4269">
      <w:pPr>
        <w:pStyle w:val="ConsPlusNormal"/>
        <w:ind w:firstLine="540"/>
        <w:jc w:val="both"/>
      </w:pPr>
    </w:p>
    <w:p w:rsidR="008C4269" w:rsidRDefault="008C4269">
      <w:pPr>
        <w:pStyle w:val="ConsPlusNormal"/>
        <w:jc w:val="center"/>
      </w:pPr>
      <w:r>
        <w:t xml:space="preserve">Исключено. - </w:t>
      </w:r>
      <w:hyperlink r:id="rId25" w:history="1">
        <w:r>
          <w:rPr>
            <w:color w:val="0000FF"/>
          </w:rPr>
          <w:t>Приказ</w:t>
        </w:r>
      </w:hyperlink>
      <w:r>
        <w:t xml:space="preserve"> комитета по печати и связям</w:t>
      </w:r>
    </w:p>
    <w:p w:rsidR="008C4269" w:rsidRDefault="008C4269">
      <w:pPr>
        <w:pStyle w:val="ConsPlusNormal"/>
        <w:jc w:val="center"/>
      </w:pPr>
      <w:r>
        <w:t>с общественностью Ленинградской области от 29.03.2019 N 15.</w:t>
      </w: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outlineLvl w:val="1"/>
      </w:pPr>
    </w:p>
    <w:p w:rsidR="008C4269" w:rsidRDefault="008C4269">
      <w:pPr>
        <w:pStyle w:val="ConsPlusNormal"/>
        <w:jc w:val="right"/>
        <w:outlineLvl w:val="1"/>
      </w:pPr>
    </w:p>
    <w:p w:rsidR="008C4269" w:rsidRDefault="008C4269">
      <w:pPr>
        <w:pStyle w:val="ConsPlusNormal"/>
        <w:jc w:val="right"/>
        <w:outlineLvl w:val="1"/>
      </w:pPr>
      <w:r>
        <w:t>Приложение 2</w:t>
      </w:r>
    </w:p>
    <w:p w:rsidR="008C4269" w:rsidRDefault="008C4269">
      <w:pPr>
        <w:pStyle w:val="ConsPlusNormal"/>
        <w:jc w:val="right"/>
      </w:pPr>
      <w:r>
        <w:t>к Положению</w:t>
      </w:r>
    </w:p>
    <w:p w:rsidR="008C4269" w:rsidRDefault="008C4269">
      <w:pPr>
        <w:pStyle w:val="ConsPlusNormal"/>
        <w:ind w:firstLine="540"/>
        <w:jc w:val="both"/>
      </w:pPr>
    </w:p>
    <w:p w:rsidR="008C4269" w:rsidRDefault="008C4269">
      <w:pPr>
        <w:pStyle w:val="ConsPlusNormal"/>
        <w:jc w:val="center"/>
      </w:pPr>
      <w:r>
        <w:t>СМЕТА</w:t>
      </w:r>
    </w:p>
    <w:p w:rsidR="008C4269" w:rsidRDefault="008C4269">
      <w:pPr>
        <w:pStyle w:val="ConsPlusNormal"/>
        <w:jc w:val="center"/>
      </w:pPr>
      <w:r>
        <w:t>планируемых расходов на реализацию проекта</w:t>
      </w:r>
    </w:p>
    <w:p w:rsidR="008C4269" w:rsidRDefault="008C4269">
      <w:pPr>
        <w:pStyle w:val="ConsPlusNormal"/>
        <w:ind w:firstLine="540"/>
        <w:jc w:val="both"/>
      </w:pPr>
    </w:p>
    <w:p w:rsidR="008C4269" w:rsidRDefault="008C4269">
      <w:pPr>
        <w:pStyle w:val="ConsPlusNormal"/>
        <w:jc w:val="center"/>
      </w:pPr>
      <w:r>
        <w:t xml:space="preserve">Исключена. - </w:t>
      </w:r>
      <w:hyperlink r:id="rId26" w:history="1">
        <w:r>
          <w:rPr>
            <w:color w:val="0000FF"/>
          </w:rPr>
          <w:t>Приказ</w:t>
        </w:r>
      </w:hyperlink>
      <w:r>
        <w:t xml:space="preserve"> комитета по печати и связям</w:t>
      </w:r>
    </w:p>
    <w:p w:rsidR="008C4269" w:rsidRDefault="008C4269">
      <w:pPr>
        <w:pStyle w:val="ConsPlusNormal"/>
        <w:jc w:val="center"/>
      </w:pPr>
      <w:r>
        <w:t>с общественностью Ленинградской области от 29.03.2019 N 15.</w:t>
      </w: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8C4269" w:rsidRDefault="008C4269">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p>
    <w:p w:rsidR="001B22CF" w:rsidRDefault="001B22CF">
      <w:pPr>
        <w:pStyle w:val="ConsPlusNormal"/>
        <w:jc w:val="right"/>
      </w:pPr>
      <w:bookmarkStart w:id="2" w:name="_GoBack"/>
      <w:bookmarkEnd w:id="2"/>
    </w:p>
    <w:p w:rsidR="008C4269" w:rsidRDefault="008C4269">
      <w:pPr>
        <w:pStyle w:val="ConsPlusNormal"/>
        <w:jc w:val="right"/>
        <w:outlineLvl w:val="0"/>
      </w:pPr>
      <w:r>
        <w:lastRenderedPageBreak/>
        <w:t>УТВЕРЖДЕНО</w:t>
      </w:r>
    </w:p>
    <w:p w:rsidR="008C4269" w:rsidRDefault="008C4269">
      <w:pPr>
        <w:pStyle w:val="ConsPlusNormal"/>
        <w:jc w:val="right"/>
      </w:pPr>
      <w:r>
        <w:t>приказом Комитета по печати</w:t>
      </w:r>
    </w:p>
    <w:p w:rsidR="008C4269" w:rsidRDefault="008C4269">
      <w:pPr>
        <w:pStyle w:val="ConsPlusNormal"/>
        <w:jc w:val="right"/>
      </w:pPr>
      <w:r>
        <w:t>и связям с общественностью</w:t>
      </w:r>
    </w:p>
    <w:p w:rsidR="008C4269" w:rsidRDefault="008C4269">
      <w:pPr>
        <w:pStyle w:val="ConsPlusNormal"/>
        <w:jc w:val="right"/>
      </w:pPr>
      <w:r>
        <w:t>Ленинградской области</w:t>
      </w:r>
    </w:p>
    <w:p w:rsidR="008C4269" w:rsidRDefault="008C4269">
      <w:pPr>
        <w:pStyle w:val="ConsPlusNormal"/>
        <w:jc w:val="right"/>
      </w:pPr>
      <w:r>
        <w:t>от 06.03.2018 N 9</w:t>
      </w:r>
    </w:p>
    <w:p w:rsidR="008C4269" w:rsidRDefault="008C4269">
      <w:pPr>
        <w:pStyle w:val="ConsPlusNormal"/>
        <w:jc w:val="right"/>
      </w:pPr>
      <w:r>
        <w:t>(приложение 2)</w:t>
      </w:r>
    </w:p>
    <w:p w:rsidR="008C4269" w:rsidRDefault="008C4269">
      <w:pPr>
        <w:pStyle w:val="ConsPlusNormal"/>
        <w:jc w:val="center"/>
      </w:pPr>
    </w:p>
    <w:p w:rsidR="008C4269" w:rsidRDefault="008C4269">
      <w:pPr>
        <w:pStyle w:val="ConsPlusTitle"/>
        <w:jc w:val="center"/>
      </w:pPr>
      <w:bookmarkStart w:id="3" w:name="P173"/>
      <w:bookmarkEnd w:id="3"/>
      <w:r>
        <w:t>КРИТЕРИИ</w:t>
      </w:r>
    </w:p>
    <w:p w:rsidR="008C4269" w:rsidRDefault="008C4269">
      <w:pPr>
        <w:pStyle w:val="ConsPlusTitle"/>
        <w:jc w:val="center"/>
      </w:pPr>
      <w:r>
        <w:t>ОЦЕНКИ ЗАЯВОК НА ПОЛУЧЕНИЕ СУБСИДИЙ</w:t>
      </w:r>
    </w:p>
    <w:p w:rsidR="008C4269" w:rsidRDefault="008C42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269">
        <w:trPr>
          <w:jc w:val="center"/>
        </w:trPr>
        <w:tc>
          <w:tcPr>
            <w:tcW w:w="9294" w:type="dxa"/>
            <w:tcBorders>
              <w:top w:val="nil"/>
              <w:left w:val="single" w:sz="24" w:space="0" w:color="CED3F1"/>
              <w:bottom w:val="nil"/>
              <w:right w:val="single" w:sz="24" w:space="0" w:color="F4F3F8"/>
            </w:tcBorders>
            <w:shd w:val="clear" w:color="auto" w:fill="F4F3F8"/>
          </w:tcPr>
          <w:p w:rsidR="008C4269" w:rsidRDefault="008C4269">
            <w:pPr>
              <w:pStyle w:val="ConsPlusNormal"/>
              <w:jc w:val="center"/>
            </w:pPr>
            <w:r>
              <w:rPr>
                <w:color w:val="392C69"/>
              </w:rPr>
              <w:t>Список изменяющих документов</w:t>
            </w:r>
          </w:p>
          <w:p w:rsidR="008C4269" w:rsidRDefault="008C4269">
            <w:pPr>
              <w:pStyle w:val="ConsPlusNormal"/>
              <w:jc w:val="center"/>
            </w:pPr>
            <w:proofErr w:type="gramStart"/>
            <w:r>
              <w:rPr>
                <w:color w:val="392C69"/>
              </w:rPr>
              <w:t xml:space="preserve">(в ред. </w:t>
            </w:r>
            <w:hyperlink r:id="rId27" w:history="1">
              <w:r>
                <w:rPr>
                  <w:color w:val="0000FF"/>
                </w:rPr>
                <w:t>Приказа</w:t>
              </w:r>
            </w:hyperlink>
            <w:r>
              <w:rPr>
                <w:color w:val="392C69"/>
              </w:rPr>
              <w:t xml:space="preserve"> комитета по печати и связям с общественностью Ленинградской</w:t>
            </w:r>
            <w:proofErr w:type="gramEnd"/>
          </w:p>
          <w:p w:rsidR="008C4269" w:rsidRDefault="008C4269">
            <w:pPr>
              <w:pStyle w:val="ConsPlusNormal"/>
              <w:jc w:val="center"/>
            </w:pPr>
            <w:r>
              <w:rPr>
                <w:color w:val="392C69"/>
              </w:rPr>
              <w:t>области от 29.03.2019 N 15)</w:t>
            </w:r>
          </w:p>
        </w:tc>
      </w:tr>
    </w:tbl>
    <w:p w:rsidR="008C4269" w:rsidRDefault="008C42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2445"/>
        <w:gridCol w:w="4762"/>
        <w:gridCol w:w="1361"/>
      </w:tblGrid>
      <w:tr w:rsidR="008C4269">
        <w:tc>
          <w:tcPr>
            <w:tcW w:w="9063" w:type="dxa"/>
            <w:gridSpan w:val="4"/>
          </w:tcPr>
          <w:p w:rsidR="008C4269" w:rsidRDefault="008C4269">
            <w:pPr>
              <w:pStyle w:val="ConsPlusNormal"/>
              <w:jc w:val="center"/>
              <w:outlineLvl w:val="1"/>
            </w:pPr>
            <w:r>
              <w:t>Раздел 1. Общие критерии оценки проекта</w:t>
            </w:r>
          </w:p>
        </w:tc>
      </w:tr>
      <w:tr w:rsidR="008C4269">
        <w:tc>
          <w:tcPr>
            <w:tcW w:w="495" w:type="dxa"/>
          </w:tcPr>
          <w:p w:rsidR="008C4269" w:rsidRDefault="008C4269">
            <w:pPr>
              <w:pStyle w:val="ConsPlusNormal"/>
              <w:jc w:val="center"/>
            </w:pPr>
            <w:r>
              <w:t xml:space="preserve">N </w:t>
            </w:r>
            <w:proofErr w:type="gramStart"/>
            <w:r>
              <w:t>п</w:t>
            </w:r>
            <w:proofErr w:type="gramEnd"/>
            <w:r>
              <w:t>/п</w:t>
            </w:r>
          </w:p>
        </w:tc>
        <w:tc>
          <w:tcPr>
            <w:tcW w:w="2445" w:type="dxa"/>
          </w:tcPr>
          <w:p w:rsidR="008C4269" w:rsidRDefault="008C4269">
            <w:pPr>
              <w:pStyle w:val="ConsPlusNormal"/>
              <w:jc w:val="center"/>
            </w:pPr>
            <w:r>
              <w:t>Наименование критерия</w:t>
            </w:r>
          </w:p>
        </w:tc>
        <w:tc>
          <w:tcPr>
            <w:tcW w:w="4762" w:type="dxa"/>
          </w:tcPr>
          <w:p w:rsidR="008C4269" w:rsidRDefault="008C4269">
            <w:pPr>
              <w:pStyle w:val="ConsPlusNormal"/>
              <w:jc w:val="center"/>
            </w:pPr>
            <w:r>
              <w:t>Показатель</w:t>
            </w:r>
          </w:p>
        </w:tc>
        <w:tc>
          <w:tcPr>
            <w:tcW w:w="1361" w:type="dxa"/>
          </w:tcPr>
          <w:p w:rsidR="008C4269" w:rsidRDefault="008C4269">
            <w:pPr>
              <w:pStyle w:val="ConsPlusNormal"/>
              <w:jc w:val="center"/>
            </w:pPr>
            <w:r>
              <w:t>Количество баллов</w:t>
            </w:r>
          </w:p>
        </w:tc>
      </w:tr>
      <w:tr w:rsidR="008C4269">
        <w:tc>
          <w:tcPr>
            <w:tcW w:w="495" w:type="dxa"/>
            <w:vMerge w:val="restart"/>
          </w:tcPr>
          <w:p w:rsidR="008C4269" w:rsidRDefault="008C4269">
            <w:pPr>
              <w:pStyle w:val="ConsPlusNormal"/>
              <w:jc w:val="center"/>
            </w:pPr>
            <w:r>
              <w:t>1.</w:t>
            </w:r>
          </w:p>
        </w:tc>
        <w:tc>
          <w:tcPr>
            <w:tcW w:w="2445" w:type="dxa"/>
            <w:vMerge w:val="restart"/>
          </w:tcPr>
          <w:p w:rsidR="008C4269" w:rsidRDefault="008C4269">
            <w:pPr>
              <w:pStyle w:val="ConsPlusNormal"/>
            </w:pPr>
            <w:r>
              <w:t>Характеристика плана мероприятий проекта (0-10)</w:t>
            </w:r>
          </w:p>
        </w:tc>
        <w:tc>
          <w:tcPr>
            <w:tcW w:w="4762" w:type="dxa"/>
          </w:tcPr>
          <w:p w:rsidR="008C4269" w:rsidRDefault="008C4269">
            <w:pPr>
              <w:pStyle w:val="ConsPlusNormal"/>
            </w:pPr>
            <w:proofErr w:type="gramStart"/>
            <w:r>
              <w:t>реалистичен</w:t>
            </w:r>
            <w:proofErr w:type="gramEnd"/>
            <w:r>
              <w:t>, выполним, обеспечен ресурсами</w:t>
            </w:r>
          </w:p>
        </w:tc>
        <w:tc>
          <w:tcPr>
            <w:tcW w:w="1361" w:type="dxa"/>
          </w:tcPr>
          <w:p w:rsidR="008C4269" w:rsidRDefault="008C4269">
            <w:pPr>
              <w:pStyle w:val="ConsPlusNormal"/>
              <w:jc w:val="center"/>
            </w:pPr>
            <w:r>
              <w:t>10</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proofErr w:type="gramStart"/>
            <w:r>
              <w:t>реалистичен</w:t>
            </w:r>
            <w:proofErr w:type="gramEnd"/>
            <w:r>
              <w:t>, выполним, для всестороннего достижения целей и решения поставленных задач необходимо больше ресурсов</w:t>
            </w:r>
          </w:p>
        </w:tc>
        <w:tc>
          <w:tcPr>
            <w:tcW w:w="1361" w:type="dxa"/>
          </w:tcPr>
          <w:p w:rsidR="008C4269" w:rsidRDefault="008C4269">
            <w:pPr>
              <w:pStyle w:val="ConsPlusNormal"/>
              <w:jc w:val="center"/>
            </w:pPr>
            <w:r>
              <w:t>5</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proofErr w:type="gramStart"/>
            <w:r>
              <w:t>нереалистичен</w:t>
            </w:r>
            <w:proofErr w:type="gramEnd"/>
            <w:r>
              <w:t>, невыполним, не обеспечен ресурсами</w:t>
            </w:r>
          </w:p>
        </w:tc>
        <w:tc>
          <w:tcPr>
            <w:tcW w:w="1361" w:type="dxa"/>
          </w:tcPr>
          <w:p w:rsidR="008C4269" w:rsidRDefault="008C4269">
            <w:pPr>
              <w:pStyle w:val="ConsPlusNormal"/>
              <w:jc w:val="center"/>
            </w:pPr>
            <w:r>
              <w:t>0</w:t>
            </w:r>
          </w:p>
        </w:tc>
      </w:tr>
      <w:tr w:rsidR="008C4269">
        <w:tc>
          <w:tcPr>
            <w:tcW w:w="495" w:type="dxa"/>
            <w:vMerge w:val="restart"/>
          </w:tcPr>
          <w:p w:rsidR="008C4269" w:rsidRDefault="008C4269">
            <w:pPr>
              <w:pStyle w:val="ConsPlusNormal"/>
              <w:jc w:val="center"/>
            </w:pPr>
            <w:r>
              <w:t>2.</w:t>
            </w:r>
          </w:p>
        </w:tc>
        <w:tc>
          <w:tcPr>
            <w:tcW w:w="2445" w:type="dxa"/>
            <w:vMerge w:val="restart"/>
          </w:tcPr>
          <w:p w:rsidR="008C4269" w:rsidRDefault="008C4269">
            <w:pPr>
              <w:pStyle w:val="ConsPlusNormal"/>
            </w:pPr>
            <w:r>
              <w:t>Опыт успешной деятельности СО НКО по реализации сходных проектов или проектов в заявленной сфере в течение последних трех лет (0-5)</w:t>
            </w:r>
          </w:p>
        </w:tc>
        <w:tc>
          <w:tcPr>
            <w:tcW w:w="4762" w:type="dxa"/>
          </w:tcPr>
          <w:p w:rsidR="008C4269" w:rsidRDefault="008C4269">
            <w:pPr>
              <w:pStyle w:val="ConsPlusNormal"/>
            </w:pPr>
            <w:r>
              <w:t>реализация более 2 проектов</w:t>
            </w:r>
          </w:p>
        </w:tc>
        <w:tc>
          <w:tcPr>
            <w:tcW w:w="1361" w:type="dxa"/>
          </w:tcPr>
          <w:p w:rsidR="008C4269" w:rsidRDefault="008C4269">
            <w:pPr>
              <w:pStyle w:val="ConsPlusNormal"/>
              <w:jc w:val="center"/>
            </w:pPr>
            <w:r>
              <w:t>5</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реализация 2 проектов</w:t>
            </w:r>
          </w:p>
        </w:tc>
        <w:tc>
          <w:tcPr>
            <w:tcW w:w="1361" w:type="dxa"/>
          </w:tcPr>
          <w:p w:rsidR="008C4269" w:rsidRDefault="008C4269">
            <w:pPr>
              <w:pStyle w:val="ConsPlusNormal"/>
              <w:jc w:val="center"/>
            </w:pPr>
            <w:r>
              <w:t>3</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реализация 1 проекта</w:t>
            </w:r>
          </w:p>
        </w:tc>
        <w:tc>
          <w:tcPr>
            <w:tcW w:w="1361" w:type="dxa"/>
          </w:tcPr>
          <w:p w:rsidR="008C4269" w:rsidRDefault="008C4269">
            <w:pPr>
              <w:pStyle w:val="ConsPlusNormal"/>
              <w:jc w:val="center"/>
            </w:pPr>
            <w:r>
              <w:t>1</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проекты не реализовывались</w:t>
            </w:r>
          </w:p>
        </w:tc>
        <w:tc>
          <w:tcPr>
            <w:tcW w:w="1361" w:type="dxa"/>
          </w:tcPr>
          <w:p w:rsidR="008C4269" w:rsidRDefault="008C4269">
            <w:pPr>
              <w:pStyle w:val="ConsPlusNormal"/>
              <w:jc w:val="center"/>
            </w:pPr>
            <w:r>
              <w:t>0</w:t>
            </w:r>
          </w:p>
        </w:tc>
      </w:tr>
      <w:tr w:rsidR="008C4269">
        <w:tc>
          <w:tcPr>
            <w:tcW w:w="495" w:type="dxa"/>
            <w:vMerge w:val="restart"/>
          </w:tcPr>
          <w:p w:rsidR="008C4269" w:rsidRDefault="008C4269">
            <w:pPr>
              <w:pStyle w:val="ConsPlusNormal"/>
              <w:jc w:val="center"/>
            </w:pPr>
            <w:r>
              <w:t>3.</w:t>
            </w:r>
          </w:p>
        </w:tc>
        <w:tc>
          <w:tcPr>
            <w:tcW w:w="2445" w:type="dxa"/>
            <w:vMerge w:val="restart"/>
          </w:tcPr>
          <w:p w:rsidR="008C4269" w:rsidRDefault="008C4269">
            <w:pPr>
              <w:pStyle w:val="ConsPlusNormal"/>
            </w:pPr>
            <w:r>
              <w:t>Наличие информационного ресурса СО НК</w:t>
            </w:r>
            <w:proofErr w:type="gramStart"/>
            <w:r>
              <w:t>О о ее</w:t>
            </w:r>
            <w:proofErr w:type="gramEnd"/>
            <w:r>
              <w:t xml:space="preserve"> деятельности и периодичность его обновления (0-5)</w:t>
            </w:r>
          </w:p>
        </w:tc>
        <w:tc>
          <w:tcPr>
            <w:tcW w:w="4762" w:type="dxa"/>
          </w:tcPr>
          <w:p w:rsidR="008C4269" w:rsidRDefault="008C4269">
            <w:pPr>
              <w:pStyle w:val="ConsPlusNormal"/>
            </w:pPr>
            <w:r>
              <w:t>наполняется еженедельно</w:t>
            </w:r>
          </w:p>
        </w:tc>
        <w:tc>
          <w:tcPr>
            <w:tcW w:w="1361" w:type="dxa"/>
          </w:tcPr>
          <w:p w:rsidR="008C4269" w:rsidRDefault="008C4269">
            <w:pPr>
              <w:pStyle w:val="ConsPlusNormal"/>
              <w:jc w:val="center"/>
            </w:pPr>
            <w:r>
              <w:t>5</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наполняется ежемесячно</w:t>
            </w:r>
          </w:p>
        </w:tc>
        <w:tc>
          <w:tcPr>
            <w:tcW w:w="1361" w:type="dxa"/>
          </w:tcPr>
          <w:p w:rsidR="008C4269" w:rsidRDefault="008C4269">
            <w:pPr>
              <w:pStyle w:val="ConsPlusNormal"/>
              <w:jc w:val="center"/>
            </w:pPr>
            <w:r>
              <w:t>3</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 xml:space="preserve">наполняется </w:t>
            </w:r>
            <w:proofErr w:type="gramStart"/>
            <w:r>
              <w:t>реже</w:t>
            </w:r>
            <w:proofErr w:type="gramEnd"/>
            <w:r>
              <w:t xml:space="preserve"> чем раз в месяц</w:t>
            </w:r>
          </w:p>
        </w:tc>
        <w:tc>
          <w:tcPr>
            <w:tcW w:w="1361" w:type="dxa"/>
          </w:tcPr>
          <w:p w:rsidR="008C4269" w:rsidRDefault="008C4269">
            <w:pPr>
              <w:pStyle w:val="ConsPlusNormal"/>
              <w:jc w:val="center"/>
            </w:pPr>
            <w:r>
              <w:t>1</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отсутствует</w:t>
            </w:r>
          </w:p>
        </w:tc>
        <w:tc>
          <w:tcPr>
            <w:tcW w:w="1361" w:type="dxa"/>
          </w:tcPr>
          <w:p w:rsidR="008C4269" w:rsidRDefault="008C4269">
            <w:pPr>
              <w:pStyle w:val="ConsPlusNormal"/>
              <w:jc w:val="center"/>
            </w:pPr>
            <w:r>
              <w:t>0</w:t>
            </w:r>
          </w:p>
        </w:tc>
      </w:tr>
      <w:tr w:rsidR="008C4269">
        <w:tc>
          <w:tcPr>
            <w:tcW w:w="495" w:type="dxa"/>
            <w:vMerge w:val="restart"/>
          </w:tcPr>
          <w:p w:rsidR="008C4269" w:rsidRDefault="008C4269">
            <w:pPr>
              <w:pStyle w:val="ConsPlusNormal"/>
              <w:jc w:val="center"/>
            </w:pPr>
            <w:r>
              <w:t>4.</w:t>
            </w:r>
          </w:p>
        </w:tc>
        <w:tc>
          <w:tcPr>
            <w:tcW w:w="2445" w:type="dxa"/>
            <w:vMerge w:val="restart"/>
          </w:tcPr>
          <w:p w:rsidR="008C4269" w:rsidRDefault="008C4269">
            <w:pPr>
              <w:pStyle w:val="ConsPlusNormal"/>
            </w:pPr>
            <w:r>
              <w:t>Ожидаемые результаты от реализации проекта (0-5)</w:t>
            </w:r>
          </w:p>
        </w:tc>
        <w:tc>
          <w:tcPr>
            <w:tcW w:w="4762" w:type="dxa"/>
          </w:tcPr>
          <w:p w:rsidR="008C4269" w:rsidRDefault="008C4269">
            <w:pPr>
              <w:pStyle w:val="ConsPlusNormal"/>
            </w:pPr>
            <w:r>
              <w:t>все предполагаемые результаты можно оценить точно и объективно</w:t>
            </w:r>
          </w:p>
        </w:tc>
        <w:tc>
          <w:tcPr>
            <w:tcW w:w="1361" w:type="dxa"/>
          </w:tcPr>
          <w:p w:rsidR="008C4269" w:rsidRDefault="008C4269">
            <w:pPr>
              <w:pStyle w:val="ConsPlusNormal"/>
              <w:jc w:val="center"/>
            </w:pPr>
            <w:r>
              <w:t>5</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часть основных результатов можно оценить точно и объективно</w:t>
            </w:r>
          </w:p>
        </w:tc>
        <w:tc>
          <w:tcPr>
            <w:tcW w:w="1361" w:type="dxa"/>
          </w:tcPr>
          <w:p w:rsidR="008C4269" w:rsidRDefault="008C4269">
            <w:pPr>
              <w:pStyle w:val="ConsPlusNormal"/>
              <w:jc w:val="center"/>
            </w:pPr>
            <w:r>
              <w:t>3</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точные и объективные результаты не представлены</w:t>
            </w:r>
          </w:p>
        </w:tc>
        <w:tc>
          <w:tcPr>
            <w:tcW w:w="1361" w:type="dxa"/>
          </w:tcPr>
          <w:p w:rsidR="008C4269" w:rsidRDefault="008C4269">
            <w:pPr>
              <w:pStyle w:val="ConsPlusNormal"/>
              <w:jc w:val="center"/>
            </w:pPr>
            <w:r>
              <w:t>0</w:t>
            </w:r>
          </w:p>
        </w:tc>
      </w:tr>
      <w:tr w:rsidR="008C4269">
        <w:tc>
          <w:tcPr>
            <w:tcW w:w="495" w:type="dxa"/>
            <w:vMerge w:val="restart"/>
          </w:tcPr>
          <w:p w:rsidR="008C4269" w:rsidRDefault="008C4269">
            <w:pPr>
              <w:pStyle w:val="ConsPlusNormal"/>
              <w:jc w:val="center"/>
            </w:pPr>
            <w:r>
              <w:t>5.</w:t>
            </w:r>
          </w:p>
        </w:tc>
        <w:tc>
          <w:tcPr>
            <w:tcW w:w="2445" w:type="dxa"/>
            <w:vMerge w:val="restart"/>
          </w:tcPr>
          <w:p w:rsidR="008C4269" w:rsidRDefault="008C4269">
            <w:pPr>
              <w:pStyle w:val="ConsPlusNormal"/>
            </w:pPr>
            <w:r>
              <w:t xml:space="preserve">Заявленные в проекте </w:t>
            </w:r>
            <w:r>
              <w:lastRenderedPageBreak/>
              <w:t>финансовые требования (расходы) экономически обоснованы и целесообразны (0-10)</w:t>
            </w:r>
          </w:p>
        </w:tc>
        <w:tc>
          <w:tcPr>
            <w:tcW w:w="4762" w:type="dxa"/>
          </w:tcPr>
          <w:p w:rsidR="008C4269" w:rsidRDefault="008C4269">
            <w:pPr>
              <w:pStyle w:val="ConsPlusNormal"/>
            </w:pPr>
            <w:r>
              <w:lastRenderedPageBreak/>
              <w:t>все запланированные затраты обоснованы</w:t>
            </w:r>
          </w:p>
        </w:tc>
        <w:tc>
          <w:tcPr>
            <w:tcW w:w="1361" w:type="dxa"/>
          </w:tcPr>
          <w:p w:rsidR="008C4269" w:rsidRDefault="008C4269">
            <w:pPr>
              <w:pStyle w:val="ConsPlusNormal"/>
              <w:jc w:val="center"/>
            </w:pPr>
            <w:r>
              <w:t>10</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смета затрат завышена на 10-30% и может быть сокращена без ущерба для результата</w:t>
            </w:r>
          </w:p>
        </w:tc>
        <w:tc>
          <w:tcPr>
            <w:tcW w:w="1361" w:type="dxa"/>
          </w:tcPr>
          <w:p w:rsidR="008C4269" w:rsidRDefault="008C4269">
            <w:pPr>
              <w:pStyle w:val="ConsPlusNormal"/>
              <w:jc w:val="center"/>
            </w:pPr>
            <w:r>
              <w:t>7</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смета затрат завышена более чем на 30% и может быть сокращена без ущерба для результата</w:t>
            </w:r>
          </w:p>
        </w:tc>
        <w:tc>
          <w:tcPr>
            <w:tcW w:w="1361" w:type="dxa"/>
          </w:tcPr>
          <w:p w:rsidR="008C4269" w:rsidRDefault="008C4269">
            <w:pPr>
              <w:pStyle w:val="ConsPlusNormal"/>
              <w:jc w:val="center"/>
            </w:pPr>
            <w:r>
              <w:t>3</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смета затрат не соответствует запланированным мероприятиям</w:t>
            </w:r>
          </w:p>
        </w:tc>
        <w:tc>
          <w:tcPr>
            <w:tcW w:w="1361" w:type="dxa"/>
          </w:tcPr>
          <w:p w:rsidR="008C4269" w:rsidRDefault="008C4269">
            <w:pPr>
              <w:pStyle w:val="ConsPlusNormal"/>
              <w:jc w:val="center"/>
            </w:pPr>
            <w:r>
              <w:t>0</w:t>
            </w:r>
          </w:p>
        </w:tc>
      </w:tr>
      <w:tr w:rsidR="008C4269">
        <w:tc>
          <w:tcPr>
            <w:tcW w:w="495" w:type="dxa"/>
            <w:vMerge w:val="restart"/>
          </w:tcPr>
          <w:p w:rsidR="008C4269" w:rsidRDefault="008C4269">
            <w:pPr>
              <w:pStyle w:val="ConsPlusNormal"/>
              <w:jc w:val="center"/>
            </w:pPr>
            <w:r>
              <w:t>6.</w:t>
            </w:r>
          </w:p>
        </w:tc>
        <w:tc>
          <w:tcPr>
            <w:tcW w:w="2445" w:type="dxa"/>
            <w:vMerge w:val="restart"/>
          </w:tcPr>
          <w:p w:rsidR="008C4269" w:rsidRDefault="008C4269">
            <w:pPr>
              <w:pStyle w:val="ConsPlusNormal"/>
            </w:pPr>
            <w:r>
              <w:t>Проектом предусмотрен объем внебюджетного финансирования проекта (</w:t>
            </w:r>
            <w:proofErr w:type="gramStart"/>
            <w:r>
              <w:t>в</w:t>
            </w:r>
            <w:proofErr w:type="gramEnd"/>
            <w:r>
              <w:t xml:space="preserve"> % от общей суммы расходов на реализацию проекта) (0-5)</w:t>
            </w:r>
          </w:p>
        </w:tc>
        <w:tc>
          <w:tcPr>
            <w:tcW w:w="4762" w:type="dxa"/>
          </w:tcPr>
          <w:p w:rsidR="008C4269" w:rsidRDefault="008C4269">
            <w:pPr>
              <w:pStyle w:val="ConsPlusNormal"/>
            </w:pPr>
            <w:r>
              <w:t>20% и более</w:t>
            </w:r>
          </w:p>
        </w:tc>
        <w:tc>
          <w:tcPr>
            <w:tcW w:w="1361" w:type="dxa"/>
          </w:tcPr>
          <w:p w:rsidR="008C4269" w:rsidRDefault="008C4269">
            <w:pPr>
              <w:pStyle w:val="ConsPlusNormal"/>
              <w:jc w:val="center"/>
            </w:pPr>
            <w:r>
              <w:t>5</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от 10% до 20%</w:t>
            </w:r>
          </w:p>
        </w:tc>
        <w:tc>
          <w:tcPr>
            <w:tcW w:w="1361" w:type="dxa"/>
          </w:tcPr>
          <w:p w:rsidR="008C4269" w:rsidRDefault="008C4269">
            <w:pPr>
              <w:pStyle w:val="ConsPlusNormal"/>
              <w:jc w:val="center"/>
            </w:pPr>
            <w:r>
              <w:t>3</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от 0% до 10%</w:t>
            </w:r>
          </w:p>
        </w:tc>
        <w:tc>
          <w:tcPr>
            <w:tcW w:w="1361" w:type="dxa"/>
          </w:tcPr>
          <w:p w:rsidR="008C4269" w:rsidRDefault="008C4269">
            <w:pPr>
              <w:pStyle w:val="ConsPlusNormal"/>
              <w:jc w:val="center"/>
            </w:pPr>
            <w:r>
              <w:t>1</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proofErr w:type="spellStart"/>
            <w:r>
              <w:t>софинансирование</w:t>
            </w:r>
            <w:proofErr w:type="spellEnd"/>
            <w:r>
              <w:t xml:space="preserve"> не предусмотрено</w:t>
            </w:r>
          </w:p>
        </w:tc>
        <w:tc>
          <w:tcPr>
            <w:tcW w:w="1361" w:type="dxa"/>
          </w:tcPr>
          <w:p w:rsidR="008C4269" w:rsidRDefault="008C4269">
            <w:pPr>
              <w:pStyle w:val="ConsPlusNormal"/>
              <w:jc w:val="center"/>
            </w:pPr>
            <w:r>
              <w:t>0</w:t>
            </w:r>
          </w:p>
        </w:tc>
      </w:tr>
      <w:tr w:rsidR="008C4269">
        <w:tc>
          <w:tcPr>
            <w:tcW w:w="495" w:type="dxa"/>
            <w:vMerge w:val="restart"/>
          </w:tcPr>
          <w:p w:rsidR="008C4269" w:rsidRDefault="008C4269">
            <w:pPr>
              <w:pStyle w:val="ConsPlusNormal"/>
              <w:jc w:val="center"/>
            </w:pPr>
            <w:r>
              <w:t>7.</w:t>
            </w:r>
          </w:p>
        </w:tc>
        <w:tc>
          <w:tcPr>
            <w:tcW w:w="2445" w:type="dxa"/>
            <w:vMerge w:val="restart"/>
          </w:tcPr>
          <w:p w:rsidR="008C4269" w:rsidRDefault="008C4269">
            <w:pPr>
              <w:pStyle w:val="ConsPlusNormal"/>
            </w:pPr>
            <w:r>
              <w:t>Планируемый социальный эффект от реализации проекта (0-10)</w:t>
            </w:r>
          </w:p>
        </w:tc>
        <w:tc>
          <w:tcPr>
            <w:tcW w:w="4762" w:type="dxa"/>
          </w:tcPr>
          <w:p w:rsidR="008C4269" w:rsidRDefault="008C4269">
            <w:pPr>
              <w:pStyle w:val="ConsPlusNormal"/>
            </w:pPr>
            <w:r>
              <w:t xml:space="preserve">реализация проекта будет способствовать решению важных социальных задач, усматривается высокая степень положительного влияния проекта </w:t>
            </w:r>
            <w:proofErr w:type="gramStart"/>
            <w:r>
              <w:t>на</w:t>
            </w:r>
            <w:proofErr w:type="gramEnd"/>
            <w:r>
              <w:t xml:space="preserve"> СО НКО</w:t>
            </w:r>
          </w:p>
        </w:tc>
        <w:tc>
          <w:tcPr>
            <w:tcW w:w="1361" w:type="dxa"/>
          </w:tcPr>
          <w:p w:rsidR="008C4269" w:rsidRDefault="008C4269">
            <w:pPr>
              <w:pStyle w:val="ConsPlusNormal"/>
              <w:jc w:val="center"/>
            </w:pPr>
            <w:r>
              <w:t>10</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 xml:space="preserve">реализация проекта будет способствовать решению важных социальных задач, усматривается незначительная степень положительного влияния проекта </w:t>
            </w:r>
            <w:proofErr w:type="gramStart"/>
            <w:r>
              <w:t>на</w:t>
            </w:r>
            <w:proofErr w:type="gramEnd"/>
            <w:r>
              <w:t xml:space="preserve"> СО НКО</w:t>
            </w:r>
          </w:p>
        </w:tc>
        <w:tc>
          <w:tcPr>
            <w:tcW w:w="1361" w:type="dxa"/>
          </w:tcPr>
          <w:p w:rsidR="008C4269" w:rsidRDefault="008C4269">
            <w:pPr>
              <w:pStyle w:val="ConsPlusNormal"/>
              <w:jc w:val="center"/>
            </w:pPr>
            <w:r>
              <w:t>5</w:t>
            </w:r>
          </w:p>
        </w:tc>
      </w:tr>
      <w:tr w:rsidR="008C4269">
        <w:tc>
          <w:tcPr>
            <w:tcW w:w="495" w:type="dxa"/>
            <w:vMerge/>
          </w:tcPr>
          <w:p w:rsidR="008C4269" w:rsidRDefault="008C4269"/>
        </w:tc>
        <w:tc>
          <w:tcPr>
            <w:tcW w:w="2445" w:type="dxa"/>
            <w:vMerge/>
          </w:tcPr>
          <w:p w:rsidR="008C4269" w:rsidRDefault="008C4269"/>
        </w:tc>
        <w:tc>
          <w:tcPr>
            <w:tcW w:w="4762" w:type="dxa"/>
          </w:tcPr>
          <w:p w:rsidR="008C4269" w:rsidRDefault="008C4269">
            <w:pPr>
              <w:pStyle w:val="ConsPlusNormal"/>
            </w:pPr>
            <w:r>
              <w:t>реализация проекта будет способствовать решению социальных задач, положительное влияние проекта на целевую группу СО НКО</w:t>
            </w:r>
          </w:p>
        </w:tc>
        <w:tc>
          <w:tcPr>
            <w:tcW w:w="1361" w:type="dxa"/>
          </w:tcPr>
          <w:p w:rsidR="008C4269" w:rsidRDefault="008C4269">
            <w:pPr>
              <w:pStyle w:val="ConsPlusNormal"/>
              <w:jc w:val="center"/>
            </w:pPr>
            <w:r>
              <w:t>0</w:t>
            </w:r>
          </w:p>
        </w:tc>
      </w:tr>
    </w:tbl>
    <w:p w:rsidR="008C4269" w:rsidRDefault="008C4269">
      <w:pPr>
        <w:pStyle w:val="ConsPlusNormal"/>
      </w:pPr>
    </w:p>
    <w:p w:rsidR="008C4269" w:rsidRDefault="008C4269">
      <w:pPr>
        <w:sectPr w:rsidR="008C4269" w:rsidSect="00BB4E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432"/>
        <w:gridCol w:w="1324"/>
        <w:gridCol w:w="1432"/>
        <w:gridCol w:w="1324"/>
        <w:gridCol w:w="1432"/>
        <w:gridCol w:w="1324"/>
      </w:tblGrid>
      <w:tr w:rsidR="008C4269">
        <w:tc>
          <w:tcPr>
            <w:tcW w:w="11556" w:type="dxa"/>
            <w:gridSpan w:val="8"/>
          </w:tcPr>
          <w:p w:rsidR="008C4269" w:rsidRDefault="008C4269">
            <w:pPr>
              <w:pStyle w:val="ConsPlusNormal"/>
              <w:jc w:val="center"/>
              <w:outlineLvl w:val="1"/>
            </w:pPr>
            <w:r>
              <w:lastRenderedPageBreak/>
              <w:t>Раздел 2. Специальные критерии оценки проекта</w:t>
            </w:r>
          </w:p>
        </w:tc>
      </w:tr>
      <w:tr w:rsidR="008C4269">
        <w:tc>
          <w:tcPr>
            <w:tcW w:w="567" w:type="dxa"/>
            <w:vMerge w:val="restart"/>
          </w:tcPr>
          <w:p w:rsidR="008C4269" w:rsidRDefault="008C4269">
            <w:pPr>
              <w:pStyle w:val="ConsPlusNormal"/>
              <w:jc w:val="center"/>
            </w:pPr>
          </w:p>
        </w:tc>
        <w:tc>
          <w:tcPr>
            <w:tcW w:w="2721" w:type="dxa"/>
            <w:vMerge w:val="restart"/>
          </w:tcPr>
          <w:p w:rsidR="008C4269" w:rsidRDefault="008C4269">
            <w:pPr>
              <w:pStyle w:val="ConsPlusNormal"/>
              <w:jc w:val="center"/>
            </w:pPr>
            <w:r>
              <w:t>Наименование критерия</w:t>
            </w:r>
          </w:p>
        </w:tc>
        <w:tc>
          <w:tcPr>
            <w:tcW w:w="2756" w:type="dxa"/>
            <w:gridSpan w:val="2"/>
          </w:tcPr>
          <w:p w:rsidR="008C4269" w:rsidRDefault="008C4269">
            <w:pPr>
              <w:pStyle w:val="ConsPlusNormal"/>
              <w:jc w:val="center"/>
            </w:pPr>
            <w:r>
              <w:t>Первая категория заявок ("большая субсидия для ресурсного центра")</w:t>
            </w:r>
          </w:p>
        </w:tc>
        <w:tc>
          <w:tcPr>
            <w:tcW w:w="2756" w:type="dxa"/>
            <w:gridSpan w:val="2"/>
          </w:tcPr>
          <w:p w:rsidR="008C4269" w:rsidRDefault="008C4269">
            <w:pPr>
              <w:pStyle w:val="ConsPlusNormal"/>
              <w:jc w:val="center"/>
            </w:pPr>
            <w:r>
              <w:t>Вторая категория заявок ("средняя субсидия для ресурсного центра")</w:t>
            </w:r>
          </w:p>
        </w:tc>
        <w:tc>
          <w:tcPr>
            <w:tcW w:w="2756" w:type="dxa"/>
            <w:gridSpan w:val="2"/>
          </w:tcPr>
          <w:p w:rsidR="008C4269" w:rsidRDefault="008C4269">
            <w:pPr>
              <w:pStyle w:val="ConsPlusNormal"/>
              <w:jc w:val="center"/>
            </w:pPr>
            <w:r>
              <w:t>Третья категория заявок ("малая субсидия для ресурсного центра")</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jc w:val="center"/>
            </w:pPr>
            <w:r>
              <w:t>Показатель</w:t>
            </w:r>
          </w:p>
        </w:tc>
        <w:tc>
          <w:tcPr>
            <w:tcW w:w="1324" w:type="dxa"/>
          </w:tcPr>
          <w:p w:rsidR="008C4269" w:rsidRDefault="008C4269">
            <w:pPr>
              <w:pStyle w:val="ConsPlusNormal"/>
              <w:jc w:val="center"/>
            </w:pPr>
            <w:r>
              <w:t>Количество баллов</w:t>
            </w:r>
          </w:p>
        </w:tc>
        <w:tc>
          <w:tcPr>
            <w:tcW w:w="1432" w:type="dxa"/>
          </w:tcPr>
          <w:p w:rsidR="008C4269" w:rsidRDefault="008C4269">
            <w:pPr>
              <w:pStyle w:val="ConsPlusNormal"/>
              <w:jc w:val="center"/>
            </w:pPr>
            <w:r>
              <w:t>Показатель</w:t>
            </w:r>
          </w:p>
        </w:tc>
        <w:tc>
          <w:tcPr>
            <w:tcW w:w="1324" w:type="dxa"/>
          </w:tcPr>
          <w:p w:rsidR="008C4269" w:rsidRDefault="008C4269">
            <w:pPr>
              <w:pStyle w:val="ConsPlusNormal"/>
              <w:jc w:val="center"/>
            </w:pPr>
            <w:r>
              <w:t>Количество баллов</w:t>
            </w:r>
          </w:p>
        </w:tc>
        <w:tc>
          <w:tcPr>
            <w:tcW w:w="1432" w:type="dxa"/>
          </w:tcPr>
          <w:p w:rsidR="008C4269" w:rsidRDefault="008C4269">
            <w:pPr>
              <w:pStyle w:val="ConsPlusNormal"/>
              <w:jc w:val="center"/>
            </w:pPr>
            <w:r>
              <w:t>Показатель</w:t>
            </w:r>
          </w:p>
        </w:tc>
        <w:tc>
          <w:tcPr>
            <w:tcW w:w="1324" w:type="dxa"/>
          </w:tcPr>
          <w:p w:rsidR="008C4269" w:rsidRDefault="008C4269">
            <w:pPr>
              <w:pStyle w:val="ConsPlusNormal"/>
              <w:jc w:val="center"/>
            </w:pPr>
            <w:r>
              <w:t>Количество баллов</w:t>
            </w:r>
          </w:p>
        </w:tc>
      </w:tr>
      <w:tr w:rsidR="008C4269">
        <w:tc>
          <w:tcPr>
            <w:tcW w:w="567" w:type="dxa"/>
            <w:vMerge w:val="restart"/>
          </w:tcPr>
          <w:p w:rsidR="008C4269" w:rsidRDefault="008C4269">
            <w:pPr>
              <w:pStyle w:val="ConsPlusNormal"/>
              <w:jc w:val="center"/>
            </w:pPr>
            <w:r>
              <w:t>8.</w:t>
            </w:r>
          </w:p>
        </w:tc>
        <w:tc>
          <w:tcPr>
            <w:tcW w:w="2721" w:type="dxa"/>
            <w:vMerge w:val="restart"/>
          </w:tcPr>
          <w:p w:rsidR="008C4269" w:rsidRDefault="008C4269">
            <w:pPr>
              <w:pStyle w:val="ConsPlusNormal"/>
            </w:pPr>
            <w:r>
              <w:t>Количество СО НКО, которым будет оказана финансовая поддержка (0-10)</w:t>
            </w:r>
          </w:p>
        </w:tc>
        <w:tc>
          <w:tcPr>
            <w:tcW w:w="1432" w:type="dxa"/>
          </w:tcPr>
          <w:p w:rsidR="008C4269" w:rsidRDefault="008C4269">
            <w:pPr>
              <w:pStyle w:val="ConsPlusNormal"/>
            </w:pPr>
            <w:r>
              <w:t>15 и более организаций</w:t>
            </w:r>
          </w:p>
        </w:tc>
        <w:tc>
          <w:tcPr>
            <w:tcW w:w="1324" w:type="dxa"/>
          </w:tcPr>
          <w:p w:rsidR="008C4269" w:rsidRDefault="008C4269">
            <w:pPr>
              <w:pStyle w:val="ConsPlusNormal"/>
              <w:jc w:val="center"/>
            </w:pPr>
            <w:r>
              <w:t>10</w:t>
            </w:r>
          </w:p>
        </w:tc>
        <w:tc>
          <w:tcPr>
            <w:tcW w:w="1432" w:type="dxa"/>
          </w:tcPr>
          <w:p w:rsidR="008C4269" w:rsidRDefault="008C4269">
            <w:pPr>
              <w:pStyle w:val="ConsPlusNormal"/>
            </w:pPr>
            <w:r>
              <w:t>10 и более организаций</w:t>
            </w:r>
          </w:p>
        </w:tc>
        <w:tc>
          <w:tcPr>
            <w:tcW w:w="1324" w:type="dxa"/>
          </w:tcPr>
          <w:p w:rsidR="008C4269" w:rsidRDefault="008C4269">
            <w:pPr>
              <w:pStyle w:val="ConsPlusNormal"/>
              <w:jc w:val="center"/>
            </w:pPr>
            <w:r>
              <w:t>10</w:t>
            </w:r>
          </w:p>
        </w:tc>
        <w:tc>
          <w:tcPr>
            <w:tcW w:w="1432" w:type="dxa"/>
          </w:tcPr>
          <w:p w:rsidR="008C4269" w:rsidRDefault="008C4269">
            <w:pPr>
              <w:pStyle w:val="ConsPlusNormal"/>
            </w:pPr>
            <w:r>
              <w:t>5 и более организаций</w:t>
            </w:r>
          </w:p>
        </w:tc>
        <w:tc>
          <w:tcPr>
            <w:tcW w:w="1324" w:type="dxa"/>
          </w:tcPr>
          <w:p w:rsidR="008C4269" w:rsidRDefault="008C4269">
            <w:pPr>
              <w:pStyle w:val="ConsPlusNormal"/>
              <w:jc w:val="center"/>
            </w:pPr>
            <w:r>
              <w:t>10</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8-14 организаций</w:t>
            </w:r>
          </w:p>
        </w:tc>
        <w:tc>
          <w:tcPr>
            <w:tcW w:w="1324" w:type="dxa"/>
          </w:tcPr>
          <w:p w:rsidR="008C4269" w:rsidRDefault="008C4269">
            <w:pPr>
              <w:pStyle w:val="ConsPlusNormal"/>
              <w:jc w:val="center"/>
            </w:pPr>
            <w:r>
              <w:t>5</w:t>
            </w:r>
          </w:p>
        </w:tc>
        <w:tc>
          <w:tcPr>
            <w:tcW w:w="1432" w:type="dxa"/>
          </w:tcPr>
          <w:p w:rsidR="008C4269" w:rsidRDefault="008C4269">
            <w:pPr>
              <w:pStyle w:val="ConsPlusNormal"/>
            </w:pPr>
            <w:r>
              <w:t>5-9 организаций</w:t>
            </w:r>
          </w:p>
        </w:tc>
        <w:tc>
          <w:tcPr>
            <w:tcW w:w="1324" w:type="dxa"/>
          </w:tcPr>
          <w:p w:rsidR="008C4269" w:rsidRDefault="008C4269">
            <w:pPr>
              <w:pStyle w:val="ConsPlusNormal"/>
              <w:jc w:val="center"/>
            </w:pPr>
            <w:r>
              <w:t>5</w:t>
            </w:r>
          </w:p>
        </w:tc>
        <w:tc>
          <w:tcPr>
            <w:tcW w:w="1432" w:type="dxa"/>
          </w:tcPr>
          <w:p w:rsidR="008C4269" w:rsidRDefault="008C4269">
            <w:pPr>
              <w:pStyle w:val="ConsPlusNormal"/>
            </w:pPr>
            <w:r>
              <w:t>3-4 организации</w:t>
            </w:r>
          </w:p>
        </w:tc>
        <w:tc>
          <w:tcPr>
            <w:tcW w:w="1324" w:type="dxa"/>
          </w:tcPr>
          <w:p w:rsidR="008C4269" w:rsidRDefault="008C4269">
            <w:pPr>
              <w:pStyle w:val="ConsPlusNormal"/>
              <w:jc w:val="center"/>
            </w:pPr>
            <w:r>
              <w:t>5</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1-7 организаций</w:t>
            </w:r>
          </w:p>
        </w:tc>
        <w:tc>
          <w:tcPr>
            <w:tcW w:w="1324" w:type="dxa"/>
          </w:tcPr>
          <w:p w:rsidR="008C4269" w:rsidRDefault="008C4269">
            <w:pPr>
              <w:pStyle w:val="ConsPlusNormal"/>
              <w:jc w:val="center"/>
            </w:pPr>
            <w:r>
              <w:t>1</w:t>
            </w:r>
          </w:p>
        </w:tc>
        <w:tc>
          <w:tcPr>
            <w:tcW w:w="1432" w:type="dxa"/>
          </w:tcPr>
          <w:p w:rsidR="008C4269" w:rsidRDefault="008C4269">
            <w:pPr>
              <w:pStyle w:val="ConsPlusNormal"/>
            </w:pPr>
            <w:r>
              <w:t>1-4 организации</w:t>
            </w:r>
          </w:p>
        </w:tc>
        <w:tc>
          <w:tcPr>
            <w:tcW w:w="1324" w:type="dxa"/>
          </w:tcPr>
          <w:p w:rsidR="008C4269" w:rsidRDefault="008C4269">
            <w:pPr>
              <w:pStyle w:val="ConsPlusNormal"/>
              <w:jc w:val="center"/>
            </w:pPr>
            <w:r>
              <w:t>1</w:t>
            </w:r>
          </w:p>
        </w:tc>
        <w:tc>
          <w:tcPr>
            <w:tcW w:w="1432" w:type="dxa"/>
          </w:tcPr>
          <w:p w:rsidR="008C4269" w:rsidRDefault="008C4269">
            <w:pPr>
              <w:pStyle w:val="ConsPlusNormal"/>
            </w:pPr>
            <w:r>
              <w:t>1-2 организации</w:t>
            </w:r>
          </w:p>
        </w:tc>
        <w:tc>
          <w:tcPr>
            <w:tcW w:w="1324" w:type="dxa"/>
          </w:tcPr>
          <w:p w:rsidR="008C4269" w:rsidRDefault="008C4269">
            <w:pPr>
              <w:pStyle w:val="ConsPlusNormal"/>
              <w:jc w:val="center"/>
            </w:pPr>
            <w:r>
              <w:t>1</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r>
      <w:tr w:rsidR="008C4269">
        <w:tc>
          <w:tcPr>
            <w:tcW w:w="567" w:type="dxa"/>
            <w:vMerge w:val="restart"/>
          </w:tcPr>
          <w:p w:rsidR="008C4269" w:rsidRDefault="008C4269">
            <w:pPr>
              <w:pStyle w:val="ConsPlusNormal"/>
              <w:jc w:val="center"/>
            </w:pPr>
            <w:r>
              <w:t>9.</w:t>
            </w:r>
          </w:p>
        </w:tc>
        <w:tc>
          <w:tcPr>
            <w:tcW w:w="2721" w:type="dxa"/>
            <w:vMerge w:val="restart"/>
          </w:tcPr>
          <w:p w:rsidR="008C4269" w:rsidRDefault="008C4269">
            <w:pPr>
              <w:pStyle w:val="ConsPlusNormal"/>
            </w:pPr>
            <w:r>
              <w:t>Количество СО НКО, которым будет оказана информационно-консультационная поддержка (0-10)</w:t>
            </w:r>
          </w:p>
        </w:tc>
        <w:tc>
          <w:tcPr>
            <w:tcW w:w="1432" w:type="dxa"/>
          </w:tcPr>
          <w:p w:rsidR="008C4269" w:rsidRDefault="008C4269">
            <w:pPr>
              <w:pStyle w:val="ConsPlusNormal"/>
            </w:pPr>
            <w:r>
              <w:t>50 и более организаций</w:t>
            </w:r>
          </w:p>
        </w:tc>
        <w:tc>
          <w:tcPr>
            <w:tcW w:w="1324" w:type="dxa"/>
          </w:tcPr>
          <w:p w:rsidR="008C4269" w:rsidRDefault="008C4269">
            <w:pPr>
              <w:pStyle w:val="ConsPlusNormal"/>
              <w:jc w:val="center"/>
            </w:pPr>
            <w:r>
              <w:t>10</w:t>
            </w:r>
          </w:p>
        </w:tc>
        <w:tc>
          <w:tcPr>
            <w:tcW w:w="1432" w:type="dxa"/>
          </w:tcPr>
          <w:p w:rsidR="008C4269" w:rsidRDefault="008C4269">
            <w:pPr>
              <w:pStyle w:val="ConsPlusNormal"/>
            </w:pPr>
            <w:r>
              <w:t>30 и более организаций</w:t>
            </w:r>
          </w:p>
        </w:tc>
        <w:tc>
          <w:tcPr>
            <w:tcW w:w="1324" w:type="dxa"/>
          </w:tcPr>
          <w:p w:rsidR="008C4269" w:rsidRDefault="008C4269">
            <w:pPr>
              <w:pStyle w:val="ConsPlusNormal"/>
              <w:jc w:val="center"/>
            </w:pPr>
            <w:r>
              <w:t>10</w:t>
            </w:r>
          </w:p>
        </w:tc>
        <w:tc>
          <w:tcPr>
            <w:tcW w:w="1432" w:type="dxa"/>
          </w:tcPr>
          <w:p w:rsidR="008C4269" w:rsidRDefault="008C4269">
            <w:pPr>
              <w:pStyle w:val="ConsPlusNormal"/>
            </w:pPr>
            <w:r>
              <w:t>20 и более организаций</w:t>
            </w:r>
          </w:p>
        </w:tc>
        <w:tc>
          <w:tcPr>
            <w:tcW w:w="1324" w:type="dxa"/>
          </w:tcPr>
          <w:p w:rsidR="008C4269" w:rsidRDefault="008C4269">
            <w:pPr>
              <w:pStyle w:val="ConsPlusNormal"/>
              <w:jc w:val="center"/>
            </w:pPr>
            <w:r>
              <w:t>10</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31-49 организаций</w:t>
            </w:r>
          </w:p>
        </w:tc>
        <w:tc>
          <w:tcPr>
            <w:tcW w:w="1324" w:type="dxa"/>
          </w:tcPr>
          <w:p w:rsidR="008C4269" w:rsidRDefault="008C4269">
            <w:pPr>
              <w:pStyle w:val="ConsPlusNormal"/>
              <w:jc w:val="center"/>
            </w:pPr>
            <w:r>
              <w:t>5</w:t>
            </w:r>
          </w:p>
        </w:tc>
        <w:tc>
          <w:tcPr>
            <w:tcW w:w="1432" w:type="dxa"/>
          </w:tcPr>
          <w:p w:rsidR="008C4269" w:rsidRDefault="008C4269">
            <w:pPr>
              <w:pStyle w:val="ConsPlusNormal"/>
            </w:pPr>
            <w:r>
              <w:t>20-29 организаций</w:t>
            </w:r>
          </w:p>
        </w:tc>
        <w:tc>
          <w:tcPr>
            <w:tcW w:w="1324" w:type="dxa"/>
          </w:tcPr>
          <w:p w:rsidR="008C4269" w:rsidRDefault="008C4269">
            <w:pPr>
              <w:pStyle w:val="ConsPlusNormal"/>
              <w:jc w:val="center"/>
            </w:pPr>
            <w:r>
              <w:t>5</w:t>
            </w:r>
          </w:p>
        </w:tc>
        <w:tc>
          <w:tcPr>
            <w:tcW w:w="1432" w:type="dxa"/>
          </w:tcPr>
          <w:p w:rsidR="008C4269" w:rsidRDefault="008C4269">
            <w:pPr>
              <w:pStyle w:val="ConsPlusNormal"/>
            </w:pPr>
            <w:r>
              <w:t>10-19 организаций</w:t>
            </w:r>
          </w:p>
        </w:tc>
        <w:tc>
          <w:tcPr>
            <w:tcW w:w="1324" w:type="dxa"/>
          </w:tcPr>
          <w:p w:rsidR="008C4269" w:rsidRDefault="008C4269">
            <w:pPr>
              <w:pStyle w:val="ConsPlusNormal"/>
              <w:jc w:val="center"/>
            </w:pPr>
            <w:r>
              <w:t>5</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1-30 организаций</w:t>
            </w:r>
          </w:p>
        </w:tc>
        <w:tc>
          <w:tcPr>
            <w:tcW w:w="1324" w:type="dxa"/>
          </w:tcPr>
          <w:p w:rsidR="008C4269" w:rsidRDefault="008C4269">
            <w:pPr>
              <w:pStyle w:val="ConsPlusNormal"/>
              <w:jc w:val="center"/>
            </w:pPr>
            <w:r>
              <w:t>1</w:t>
            </w:r>
          </w:p>
        </w:tc>
        <w:tc>
          <w:tcPr>
            <w:tcW w:w="1432" w:type="dxa"/>
          </w:tcPr>
          <w:p w:rsidR="008C4269" w:rsidRDefault="008C4269">
            <w:pPr>
              <w:pStyle w:val="ConsPlusNormal"/>
            </w:pPr>
            <w:r>
              <w:t>1-19 организаций</w:t>
            </w:r>
          </w:p>
        </w:tc>
        <w:tc>
          <w:tcPr>
            <w:tcW w:w="1324" w:type="dxa"/>
          </w:tcPr>
          <w:p w:rsidR="008C4269" w:rsidRDefault="008C4269">
            <w:pPr>
              <w:pStyle w:val="ConsPlusNormal"/>
              <w:jc w:val="center"/>
            </w:pPr>
            <w:r>
              <w:t>1</w:t>
            </w:r>
          </w:p>
        </w:tc>
        <w:tc>
          <w:tcPr>
            <w:tcW w:w="1432" w:type="dxa"/>
          </w:tcPr>
          <w:p w:rsidR="008C4269" w:rsidRDefault="008C4269">
            <w:pPr>
              <w:pStyle w:val="ConsPlusNormal"/>
            </w:pPr>
            <w:r>
              <w:t>0-9 организаций</w:t>
            </w:r>
          </w:p>
        </w:tc>
        <w:tc>
          <w:tcPr>
            <w:tcW w:w="1324" w:type="dxa"/>
          </w:tcPr>
          <w:p w:rsidR="008C4269" w:rsidRDefault="008C4269">
            <w:pPr>
              <w:pStyle w:val="ConsPlusNormal"/>
              <w:jc w:val="center"/>
            </w:pPr>
            <w:r>
              <w:t>1</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r>
      <w:tr w:rsidR="008C4269">
        <w:tc>
          <w:tcPr>
            <w:tcW w:w="567" w:type="dxa"/>
            <w:vMerge w:val="restart"/>
          </w:tcPr>
          <w:p w:rsidR="008C4269" w:rsidRDefault="008C4269">
            <w:pPr>
              <w:pStyle w:val="ConsPlusNormal"/>
              <w:jc w:val="center"/>
            </w:pPr>
            <w:r>
              <w:t>10.</w:t>
            </w:r>
          </w:p>
        </w:tc>
        <w:tc>
          <w:tcPr>
            <w:tcW w:w="2721" w:type="dxa"/>
            <w:vMerge w:val="restart"/>
          </w:tcPr>
          <w:p w:rsidR="008C4269" w:rsidRDefault="008C4269">
            <w:pPr>
              <w:pStyle w:val="ConsPlusNormal"/>
            </w:pPr>
            <w:r>
              <w:t xml:space="preserve">Количество публикаций </w:t>
            </w:r>
            <w:proofErr w:type="gramStart"/>
            <w:r>
              <w:t>и(</w:t>
            </w:r>
            <w:proofErr w:type="gramEnd"/>
            <w:r>
              <w:t xml:space="preserve">или) информационных </w:t>
            </w:r>
            <w:r>
              <w:lastRenderedPageBreak/>
              <w:t>сообщений в СМИ о деятельности СО НКО, осуществляющих уставную деятельность на территории Ленинградской области (0-10)</w:t>
            </w:r>
          </w:p>
        </w:tc>
        <w:tc>
          <w:tcPr>
            <w:tcW w:w="1432" w:type="dxa"/>
          </w:tcPr>
          <w:p w:rsidR="008C4269" w:rsidRDefault="008C4269">
            <w:pPr>
              <w:pStyle w:val="ConsPlusNormal"/>
            </w:pPr>
            <w:r>
              <w:lastRenderedPageBreak/>
              <w:t>15 и более публикаций</w:t>
            </w:r>
          </w:p>
        </w:tc>
        <w:tc>
          <w:tcPr>
            <w:tcW w:w="1324" w:type="dxa"/>
          </w:tcPr>
          <w:p w:rsidR="008C4269" w:rsidRDefault="008C4269">
            <w:pPr>
              <w:pStyle w:val="ConsPlusNormal"/>
              <w:jc w:val="center"/>
            </w:pPr>
            <w:r>
              <w:t>10</w:t>
            </w:r>
          </w:p>
        </w:tc>
        <w:tc>
          <w:tcPr>
            <w:tcW w:w="1432" w:type="dxa"/>
          </w:tcPr>
          <w:p w:rsidR="008C4269" w:rsidRDefault="008C4269">
            <w:pPr>
              <w:pStyle w:val="ConsPlusNormal"/>
            </w:pPr>
            <w:r>
              <w:t>10 и более публикаций</w:t>
            </w:r>
          </w:p>
        </w:tc>
        <w:tc>
          <w:tcPr>
            <w:tcW w:w="1324" w:type="dxa"/>
          </w:tcPr>
          <w:p w:rsidR="008C4269" w:rsidRDefault="008C4269">
            <w:pPr>
              <w:pStyle w:val="ConsPlusNormal"/>
              <w:jc w:val="center"/>
            </w:pPr>
            <w:r>
              <w:t>10</w:t>
            </w:r>
          </w:p>
        </w:tc>
        <w:tc>
          <w:tcPr>
            <w:tcW w:w="1432" w:type="dxa"/>
          </w:tcPr>
          <w:p w:rsidR="008C4269" w:rsidRDefault="008C4269">
            <w:pPr>
              <w:pStyle w:val="ConsPlusNormal"/>
            </w:pPr>
            <w:r>
              <w:t>5 и более публикаций</w:t>
            </w:r>
          </w:p>
        </w:tc>
        <w:tc>
          <w:tcPr>
            <w:tcW w:w="1324" w:type="dxa"/>
          </w:tcPr>
          <w:p w:rsidR="008C4269" w:rsidRDefault="008C4269">
            <w:pPr>
              <w:pStyle w:val="ConsPlusNormal"/>
              <w:jc w:val="center"/>
            </w:pPr>
            <w:r>
              <w:t>10</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8-14 публикаций</w:t>
            </w:r>
          </w:p>
        </w:tc>
        <w:tc>
          <w:tcPr>
            <w:tcW w:w="1324" w:type="dxa"/>
          </w:tcPr>
          <w:p w:rsidR="008C4269" w:rsidRDefault="008C4269">
            <w:pPr>
              <w:pStyle w:val="ConsPlusNormal"/>
              <w:jc w:val="center"/>
            </w:pPr>
            <w:r>
              <w:t>5</w:t>
            </w:r>
          </w:p>
        </w:tc>
        <w:tc>
          <w:tcPr>
            <w:tcW w:w="1432" w:type="dxa"/>
          </w:tcPr>
          <w:p w:rsidR="008C4269" w:rsidRDefault="008C4269">
            <w:pPr>
              <w:pStyle w:val="ConsPlusNormal"/>
            </w:pPr>
            <w:r>
              <w:t>5-9 публикаций</w:t>
            </w:r>
          </w:p>
        </w:tc>
        <w:tc>
          <w:tcPr>
            <w:tcW w:w="1324" w:type="dxa"/>
          </w:tcPr>
          <w:p w:rsidR="008C4269" w:rsidRDefault="008C4269">
            <w:pPr>
              <w:pStyle w:val="ConsPlusNormal"/>
              <w:jc w:val="center"/>
            </w:pPr>
            <w:r>
              <w:t>5</w:t>
            </w:r>
          </w:p>
        </w:tc>
        <w:tc>
          <w:tcPr>
            <w:tcW w:w="1432" w:type="dxa"/>
          </w:tcPr>
          <w:p w:rsidR="008C4269" w:rsidRDefault="008C4269">
            <w:pPr>
              <w:pStyle w:val="ConsPlusNormal"/>
            </w:pPr>
            <w:r>
              <w:t>3-4 публикации</w:t>
            </w:r>
          </w:p>
        </w:tc>
        <w:tc>
          <w:tcPr>
            <w:tcW w:w="1324" w:type="dxa"/>
          </w:tcPr>
          <w:p w:rsidR="008C4269" w:rsidRDefault="008C4269">
            <w:pPr>
              <w:pStyle w:val="ConsPlusNormal"/>
              <w:jc w:val="center"/>
            </w:pPr>
            <w:r>
              <w:t>5</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1-7 публикаций</w:t>
            </w:r>
          </w:p>
        </w:tc>
        <w:tc>
          <w:tcPr>
            <w:tcW w:w="1324" w:type="dxa"/>
          </w:tcPr>
          <w:p w:rsidR="008C4269" w:rsidRDefault="008C4269">
            <w:pPr>
              <w:pStyle w:val="ConsPlusNormal"/>
              <w:jc w:val="center"/>
            </w:pPr>
            <w:r>
              <w:t>1</w:t>
            </w:r>
          </w:p>
        </w:tc>
        <w:tc>
          <w:tcPr>
            <w:tcW w:w="1432" w:type="dxa"/>
          </w:tcPr>
          <w:p w:rsidR="008C4269" w:rsidRDefault="008C4269">
            <w:pPr>
              <w:pStyle w:val="ConsPlusNormal"/>
            </w:pPr>
            <w:r>
              <w:t>1-5 публикаций</w:t>
            </w:r>
          </w:p>
        </w:tc>
        <w:tc>
          <w:tcPr>
            <w:tcW w:w="1324" w:type="dxa"/>
          </w:tcPr>
          <w:p w:rsidR="008C4269" w:rsidRDefault="008C4269">
            <w:pPr>
              <w:pStyle w:val="ConsPlusNormal"/>
              <w:jc w:val="center"/>
            </w:pPr>
            <w:r>
              <w:t>1</w:t>
            </w:r>
          </w:p>
        </w:tc>
        <w:tc>
          <w:tcPr>
            <w:tcW w:w="1432" w:type="dxa"/>
          </w:tcPr>
          <w:p w:rsidR="008C4269" w:rsidRDefault="008C4269">
            <w:pPr>
              <w:pStyle w:val="ConsPlusNormal"/>
            </w:pPr>
            <w:r>
              <w:t>1-2 публикации</w:t>
            </w:r>
          </w:p>
        </w:tc>
        <w:tc>
          <w:tcPr>
            <w:tcW w:w="1324" w:type="dxa"/>
          </w:tcPr>
          <w:p w:rsidR="008C4269" w:rsidRDefault="008C4269">
            <w:pPr>
              <w:pStyle w:val="ConsPlusNormal"/>
              <w:jc w:val="center"/>
            </w:pPr>
            <w:r>
              <w:t>1</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0 публикаций</w:t>
            </w:r>
          </w:p>
        </w:tc>
        <w:tc>
          <w:tcPr>
            <w:tcW w:w="1324" w:type="dxa"/>
          </w:tcPr>
          <w:p w:rsidR="008C4269" w:rsidRDefault="008C4269">
            <w:pPr>
              <w:pStyle w:val="ConsPlusNormal"/>
              <w:jc w:val="center"/>
            </w:pPr>
            <w:r>
              <w:t>0</w:t>
            </w:r>
          </w:p>
        </w:tc>
        <w:tc>
          <w:tcPr>
            <w:tcW w:w="1432" w:type="dxa"/>
          </w:tcPr>
          <w:p w:rsidR="008C4269" w:rsidRDefault="008C4269">
            <w:pPr>
              <w:pStyle w:val="ConsPlusNormal"/>
            </w:pPr>
            <w:r>
              <w:t>0 публикаций</w:t>
            </w:r>
          </w:p>
        </w:tc>
        <w:tc>
          <w:tcPr>
            <w:tcW w:w="1324" w:type="dxa"/>
          </w:tcPr>
          <w:p w:rsidR="008C4269" w:rsidRDefault="008C4269">
            <w:pPr>
              <w:pStyle w:val="ConsPlusNormal"/>
              <w:jc w:val="center"/>
            </w:pPr>
            <w:r>
              <w:t>0</w:t>
            </w:r>
          </w:p>
        </w:tc>
        <w:tc>
          <w:tcPr>
            <w:tcW w:w="1432" w:type="dxa"/>
          </w:tcPr>
          <w:p w:rsidR="008C4269" w:rsidRDefault="008C4269">
            <w:pPr>
              <w:pStyle w:val="ConsPlusNormal"/>
            </w:pPr>
            <w:r>
              <w:t>0 публикаций</w:t>
            </w:r>
          </w:p>
        </w:tc>
        <w:tc>
          <w:tcPr>
            <w:tcW w:w="1324" w:type="dxa"/>
          </w:tcPr>
          <w:p w:rsidR="008C4269" w:rsidRDefault="008C4269">
            <w:pPr>
              <w:pStyle w:val="ConsPlusNormal"/>
              <w:jc w:val="center"/>
            </w:pPr>
            <w:r>
              <w:t>0</w:t>
            </w:r>
          </w:p>
        </w:tc>
      </w:tr>
      <w:tr w:rsidR="008C4269">
        <w:tc>
          <w:tcPr>
            <w:tcW w:w="567" w:type="dxa"/>
            <w:vMerge w:val="restart"/>
          </w:tcPr>
          <w:p w:rsidR="008C4269" w:rsidRDefault="008C4269">
            <w:pPr>
              <w:pStyle w:val="ConsPlusNormal"/>
              <w:jc w:val="center"/>
            </w:pPr>
            <w:r>
              <w:t>11.</w:t>
            </w:r>
          </w:p>
        </w:tc>
        <w:tc>
          <w:tcPr>
            <w:tcW w:w="2721" w:type="dxa"/>
            <w:vMerge w:val="restart"/>
          </w:tcPr>
          <w:p w:rsidR="008C4269" w:rsidRDefault="008C4269">
            <w:pPr>
              <w:pStyle w:val="ConsPlusNormal"/>
            </w:pPr>
            <w:proofErr w:type="gramStart"/>
            <w:r>
              <w:t>Количество вновь созданных СО НКО в рамках проекта, осуществляющих деятельность на территории Ленинградской области (0-10)</w:t>
            </w:r>
            <w:proofErr w:type="gramEnd"/>
          </w:p>
        </w:tc>
        <w:tc>
          <w:tcPr>
            <w:tcW w:w="1432" w:type="dxa"/>
          </w:tcPr>
          <w:p w:rsidR="008C4269" w:rsidRDefault="008C4269">
            <w:pPr>
              <w:pStyle w:val="ConsPlusNormal"/>
            </w:pPr>
            <w:r>
              <w:t>10 и более организаций</w:t>
            </w:r>
          </w:p>
        </w:tc>
        <w:tc>
          <w:tcPr>
            <w:tcW w:w="1324" w:type="dxa"/>
          </w:tcPr>
          <w:p w:rsidR="008C4269" w:rsidRDefault="008C4269">
            <w:pPr>
              <w:pStyle w:val="ConsPlusNormal"/>
              <w:jc w:val="center"/>
            </w:pPr>
            <w:r>
              <w:t>10</w:t>
            </w:r>
          </w:p>
        </w:tc>
        <w:tc>
          <w:tcPr>
            <w:tcW w:w="1432" w:type="dxa"/>
          </w:tcPr>
          <w:p w:rsidR="008C4269" w:rsidRDefault="008C4269">
            <w:pPr>
              <w:pStyle w:val="ConsPlusNormal"/>
            </w:pPr>
            <w:r>
              <w:t>5 и более организаций</w:t>
            </w:r>
          </w:p>
        </w:tc>
        <w:tc>
          <w:tcPr>
            <w:tcW w:w="1324" w:type="dxa"/>
          </w:tcPr>
          <w:p w:rsidR="008C4269" w:rsidRDefault="008C4269">
            <w:pPr>
              <w:pStyle w:val="ConsPlusNormal"/>
              <w:jc w:val="center"/>
            </w:pPr>
            <w:r>
              <w:t>10</w:t>
            </w:r>
          </w:p>
        </w:tc>
        <w:tc>
          <w:tcPr>
            <w:tcW w:w="1432" w:type="dxa"/>
          </w:tcPr>
          <w:p w:rsidR="008C4269" w:rsidRDefault="008C4269">
            <w:pPr>
              <w:pStyle w:val="ConsPlusNormal"/>
            </w:pPr>
            <w:r>
              <w:t>3 и более организаций</w:t>
            </w:r>
          </w:p>
        </w:tc>
        <w:tc>
          <w:tcPr>
            <w:tcW w:w="1324" w:type="dxa"/>
          </w:tcPr>
          <w:p w:rsidR="008C4269" w:rsidRDefault="008C4269">
            <w:pPr>
              <w:pStyle w:val="ConsPlusNormal"/>
              <w:jc w:val="center"/>
            </w:pPr>
            <w:r>
              <w:t>10</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5-9 организаций</w:t>
            </w:r>
          </w:p>
        </w:tc>
        <w:tc>
          <w:tcPr>
            <w:tcW w:w="1324" w:type="dxa"/>
          </w:tcPr>
          <w:p w:rsidR="008C4269" w:rsidRDefault="008C4269">
            <w:pPr>
              <w:pStyle w:val="ConsPlusNormal"/>
              <w:jc w:val="center"/>
            </w:pPr>
            <w:r>
              <w:t>5</w:t>
            </w:r>
          </w:p>
        </w:tc>
        <w:tc>
          <w:tcPr>
            <w:tcW w:w="1432" w:type="dxa"/>
          </w:tcPr>
          <w:p w:rsidR="008C4269" w:rsidRDefault="008C4269">
            <w:pPr>
              <w:pStyle w:val="ConsPlusNormal"/>
            </w:pPr>
            <w:r>
              <w:t>3-4 организации</w:t>
            </w:r>
          </w:p>
        </w:tc>
        <w:tc>
          <w:tcPr>
            <w:tcW w:w="1324" w:type="dxa"/>
          </w:tcPr>
          <w:p w:rsidR="008C4269" w:rsidRDefault="008C4269">
            <w:pPr>
              <w:pStyle w:val="ConsPlusNormal"/>
              <w:jc w:val="center"/>
            </w:pPr>
            <w:r>
              <w:t>5</w:t>
            </w:r>
          </w:p>
        </w:tc>
        <w:tc>
          <w:tcPr>
            <w:tcW w:w="1432" w:type="dxa"/>
          </w:tcPr>
          <w:p w:rsidR="008C4269" w:rsidRDefault="008C4269">
            <w:pPr>
              <w:pStyle w:val="ConsPlusNormal"/>
            </w:pPr>
            <w:r>
              <w:t>2 организации</w:t>
            </w:r>
          </w:p>
        </w:tc>
        <w:tc>
          <w:tcPr>
            <w:tcW w:w="1324" w:type="dxa"/>
          </w:tcPr>
          <w:p w:rsidR="008C4269" w:rsidRDefault="008C4269">
            <w:pPr>
              <w:pStyle w:val="ConsPlusNormal"/>
              <w:jc w:val="center"/>
            </w:pPr>
            <w:r>
              <w:t>5</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1-4 организации</w:t>
            </w:r>
          </w:p>
        </w:tc>
        <w:tc>
          <w:tcPr>
            <w:tcW w:w="1324" w:type="dxa"/>
          </w:tcPr>
          <w:p w:rsidR="008C4269" w:rsidRDefault="008C4269">
            <w:pPr>
              <w:pStyle w:val="ConsPlusNormal"/>
              <w:jc w:val="center"/>
            </w:pPr>
            <w:r>
              <w:t>1</w:t>
            </w:r>
          </w:p>
        </w:tc>
        <w:tc>
          <w:tcPr>
            <w:tcW w:w="1432" w:type="dxa"/>
          </w:tcPr>
          <w:p w:rsidR="008C4269" w:rsidRDefault="008C4269">
            <w:pPr>
              <w:pStyle w:val="ConsPlusNormal"/>
            </w:pPr>
            <w:r>
              <w:t>1-2 организации</w:t>
            </w:r>
          </w:p>
        </w:tc>
        <w:tc>
          <w:tcPr>
            <w:tcW w:w="1324" w:type="dxa"/>
          </w:tcPr>
          <w:p w:rsidR="008C4269" w:rsidRDefault="008C4269">
            <w:pPr>
              <w:pStyle w:val="ConsPlusNormal"/>
              <w:jc w:val="center"/>
            </w:pPr>
            <w:r>
              <w:t>1</w:t>
            </w:r>
          </w:p>
        </w:tc>
        <w:tc>
          <w:tcPr>
            <w:tcW w:w="1432" w:type="dxa"/>
          </w:tcPr>
          <w:p w:rsidR="008C4269" w:rsidRDefault="008C4269">
            <w:pPr>
              <w:pStyle w:val="ConsPlusNormal"/>
            </w:pPr>
            <w:r>
              <w:t>1 организация</w:t>
            </w:r>
          </w:p>
        </w:tc>
        <w:tc>
          <w:tcPr>
            <w:tcW w:w="1324" w:type="dxa"/>
          </w:tcPr>
          <w:p w:rsidR="008C4269" w:rsidRDefault="008C4269">
            <w:pPr>
              <w:pStyle w:val="ConsPlusNormal"/>
              <w:jc w:val="center"/>
            </w:pPr>
            <w:r>
              <w:t>1</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r>
      <w:tr w:rsidR="008C4269">
        <w:tc>
          <w:tcPr>
            <w:tcW w:w="567" w:type="dxa"/>
            <w:vMerge w:val="restart"/>
          </w:tcPr>
          <w:p w:rsidR="008C4269" w:rsidRDefault="008C4269">
            <w:pPr>
              <w:pStyle w:val="ConsPlusNormal"/>
              <w:jc w:val="center"/>
            </w:pPr>
            <w:r>
              <w:t>12.</w:t>
            </w:r>
          </w:p>
        </w:tc>
        <w:tc>
          <w:tcPr>
            <w:tcW w:w="2721" w:type="dxa"/>
            <w:vMerge w:val="restart"/>
          </w:tcPr>
          <w:p w:rsidR="008C4269" w:rsidRDefault="008C4269">
            <w:pPr>
              <w:pStyle w:val="ConsPlusNormal"/>
            </w:pPr>
            <w:r>
              <w:t>Количество СО НКО, которым оказана помощь по подготовке конкурсной документации с целью участия в конкурсах на получение субсидий федерального уровня, в рамках проекта (0-10)</w:t>
            </w:r>
          </w:p>
        </w:tc>
        <w:tc>
          <w:tcPr>
            <w:tcW w:w="1432" w:type="dxa"/>
          </w:tcPr>
          <w:p w:rsidR="008C4269" w:rsidRDefault="008C4269">
            <w:pPr>
              <w:pStyle w:val="ConsPlusNormal"/>
            </w:pPr>
            <w:r>
              <w:t>15 и более организаций</w:t>
            </w:r>
          </w:p>
        </w:tc>
        <w:tc>
          <w:tcPr>
            <w:tcW w:w="1324" w:type="dxa"/>
          </w:tcPr>
          <w:p w:rsidR="008C4269" w:rsidRDefault="008C4269">
            <w:pPr>
              <w:pStyle w:val="ConsPlusNormal"/>
              <w:jc w:val="center"/>
            </w:pPr>
            <w:r>
              <w:t>10</w:t>
            </w:r>
          </w:p>
        </w:tc>
        <w:tc>
          <w:tcPr>
            <w:tcW w:w="1432" w:type="dxa"/>
          </w:tcPr>
          <w:p w:rsidR="008C4269" w:rsidRDefault="008C4269">
            <w:pPr>
              <w:pStyle w:val="ConsPlusNormal"/>
            </w:pPr>
            <w:r>
              <w:t>10 и более организаций</w:t>
            </w:r>
          </w:p>
        </w:tc>
        <w:tc>
          <w:tcPr>
            <w:tcW w:w="1324" w:type="dxa"/>
          </w:tcPr>
          <w:p w:rsidR="008C4269" w:rsidRDefault="008C4269">
            <w:pPr>
              <w:pStyle w:val="ConsPlusNormal"/>
              <w:jc w:val="center"/>
            </w:pPr>
            <w:r>
              <w:t>10</w:t>
            </w:r>
          </w:p>
        </w:tc>
        <w:tc>
          <w:tcPr>
            <w:tcW w:w="1432" w:type="dxa"/>
          </w:tcPr>
          <w:p w:rsidR="008C4269" w:rsidRDefault="008C4269">
            <w:pPr>
              <w:pStyle w:val="ConsPlusNormal"/>
            </w:pPr>
            <w:r>
              <w:t>5 и более организаций</w:t>
            </w:r>
          </w:p>
        </w:tc>
        <w:tc>
          <w:tcPr>
            <w:tcW w:w="1324" w:type="dxa"/>
          </w:tcPr>
          <w:p w:rsidR="008C4269" w:rsidRDefault="008C4269">
            <w:pPr>
              <w:pStyle w:val="ConsPlusNormal"/>
              <w:jc w:val="center"/>
            </w:pPr>
            <w:r>
              <w:t>10</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8-14 организаций</w:t>
            </w:r>
          </w:p>
        </w:tc>
        <w:tc>
          <w:tcPr>
            <w:tcW w:w="1324" w:type="dxa"/>
          </w:tcPr>
          <w:p w:rsidR="008C4269" w:rsidRDefault="008C4269">
            <w:pPr>
              <w:pStyle w:val="ConsPlusNormal"/>
              <w:jc w:val="center"/>
            </w:pPr>
            <w:r>
              <w:t>5</w:t>
            </w:r>
          </w:p>
        </w:tc>
        <w:tc>
          <w:tcPr>
            <w:tcW w:w="1432" w:type="dxa"/>
          </w:tcPr>
          <w:p w:rsidR="008C4269" w:rsidRDefault="008C4269">
            <w:pPr>
              <w:pStyle w:val="ConsPlusNormal"/>
            </w:pPr>
            <w:r>
              <w:t>5-9 организаций</w:t>
            </w:r>
          </w:p>
        </w:tc>
        <w:tc>
          <w:tcPr>
            <w:tcW w:w="1324" w:type="dxa"/>
          </w:tcPr>
          <w:p w:rsidR="008C4269" w:rsidRDefault="008C4269">
            <w:pPr>
              <w:pStyle w:val="ConsPlusNormal"/>
              <w:jc w:val="center"/>
            </w:pPr>
            <w:r>
              <w:t>5</w:t>
            </w:r>
          </w:p>
        </w:tc>
        <w:tc>
          <w:tcPr>
            <w:tcW w:w="1432" w:type="dxa"/>
          </w:tcPr>
          <w:p w:rsidR="008C4269" w:rsidRDefault="008C4269">
            <w:pPr>
              <w:pStyle w:val="ConsPlusNormal"/>
            </w:pPr>
            <w:r>
              <w:t>3-4 организации</w:t>
            </w:r>
          </w:p>
        </w:tc>
        <w:tc>
          <w:tcPr>
            <w:tcW w:w="1324" w:type="dxa"/>
          </w:tcPr>
          <w:p w:rsidR="008C4269" w:rsidRDefault="008C4269">
            <w:pPr>
              <w:pStyle w:val="ConsPlusNormal"/>
              <w:jc w:val="center"/>
            </w:pPr>
            <w:r>
              <w:t>5</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1-7 организаций</w:t>
            </w:r>
          </w:p>
        </w:tc>
        <w:tc>
          <w:tcPr>
            <w:tcW w:w="1324" w:type="dxa"/>
          </w:tcPr>
          <w:p w:rsidR="008C4269" w:rsidRDefault="008C4269">
            <w:pPr>
              <w:pStyle w:val="ConsPlusNormal"/>
              <w:jc w:val="center"/>
            </w:pPr>
            <w:r>
              <w:t>1</w:t>
            </w:r>
          </w:p>
        </w:tc>
        <w:tc>
          <w:tcPr>
            <w:tcW w:w="1432" w:type="dxa"/>
          </w:tcPr>
          <w:p w:rsidR="008C4269" w:rsidRDefault="008C4269">
            <w:pPr>
              <w:pStyle w:val="ConsPlusNormal"/>
            </w:pPr>
            <w:r>
              <w:t>1-4 организации</w:t>
            </w:r>
          </w:p>
        </w:tc>
        <w:tc>
          <w:tcPr>
            <w:tcW w:w="1324" w:type="dxa"/>
          </w:tcPr>
          <w:p w:rsidR="008C4269" w:rsidRDefault="008C4269">
            <w:pPr>
              <w:pStyle w:val="ConsPlusNormal"/>
              <w:jc w:val="center"/>
            </w:pPr>
            <w:r>
              <w:t>1</w:t>
            </w:r>
          </w:p>
        </w:tc>
        <w:tc>
          <w:tcPr>
            <w:tcW w:w="1432" w:type="dxa"/>
          </w:tcPr>
          <w:p w:rsidR="008C4269" w:rsidRDefault="008C4269">
            <w:pPr>
              <w:pStyle w:val="ConsPlusNormal"/>
            </w:pPr>
            <w:r>
              <w:t>1-2 организации</w:t>
            </w:r>
          </w:p>
        </w:tc>
        <w:tc>
          <w:tcPr>
            <w:tcW w:w="1324" w:type="dxa"/>
          </w:tcPr>
          <w:p w:rsidR="008C4269" w:rsidRDefault="008C4269">
            <w:pPr>
              <w:pStyle w:val="ConsPlusNormal"/>
              <w:jc w:val="center"/>
            </w:pPr>
            <w:r>
              <w:t>1</w:t>
            </w:r>
          </w:p>
        </w:tc>
      </w:tr>
      <w:tr w:rsidR="008C4269">
        <w:tc>
          <w:tcPr>
            <w:tcW w:w="567" w:type="dxa"/>
            <w:vMerge/>
          </w:tcPr>
          <w:p w:rsidR="008C4269" w:rsidRDefault="008C4269"/>
        </w:tc>
        <w:tc>
          <w:tcPr>
            <w:tcW w:w="2721" w:type="dxa"/>
            <w:vMerge/>
          </w:tcPr>
          <w:p w:rsidR="008C4269" w:rsidRDefault="008C4269"/>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c>
          <w:tcPr>
            <w:tcW w:w="1432" w:type="dxa"/>
          </w:tcPr>
          <w:p w:rsidR="008C4269" w:rsidRDefault="008C4269">
            <w:pPr>
              <w:pStyle w:val="ConsPlusNormal"/>
            </w:pPr>
            <w:r>
              <w:t>0 организаций</w:t>
            </w:r>
          </w:p>
        </w:tc>
        <w:tc>
          <w:tcPr>
            <w:tcW w:w="1324" w:type="dxa"/>
          </w:tcPr>
          <w:p w:rsidR="008C4269" w:rsidRDefault="008C4269">
            <w:pPr>
              <w:pStyle w:val="ConsPlusNormal"/>
              <w:jc w:val="center"/>
            </w:pPr>
            <w:r>
              <w:t>0</w:t>
            </w:r>
          </w:p>
        </w:tc>
      </w:tr>
    </w:tbl>
    <w:p w:rsidR="008C4269" w:rsidRDefault="008C4269">
      <w:pPr>
        <w:pStyle w:val="ConsPlusNormal"/>
        <w:jc w:val="both"/>
      </w:pPr>
    </w:p>
    <w:p w:rsidR="008C4269" w:rsidRDefault="008C4269">
      <w:pPr>
        <w:pStyle w:val="ConsPlusNormal"/>
        <w:jc w:val="both"/>
      </w:pPr>
    </w:p>
    <w:p w:rsidR="008C4269" w:rsidRDefault="008C4269">
      <w:pPr>
        <w:pStyle w:val="ConsPlusNormal"/>
        <w:pBdr>
          <w:top w:val="single" w:sz="6" w:space="0" w:color="auto"/>
        </w:pBdr>
        <w:spacing w:before="100" w:after="100"/>
        <w:jc w:val="both"/>
        <w:rPr>
          <w:sz w:val="2"/>
          <w:szCs w:val="2"/>
        </w:rPr>
      </w:pPr>
    </w:p>
    <w:p w:rsidR="00797E54" w:rsidRDefault="00797E54"/>
    <w:sectPr w:rsidR="00797E54" w:rsidSect="00113E7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69"/>
    <w:rsid w:val="001B22CF"/>
    <w:rsid w:val="00797E54"/>
    <w:rsid w:val="008C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4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2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4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2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B9077D7E7B71203FFF194FBB1F00C4CFF4F299B0243D1AAD3FCEEC7F307912D1BDB672B227663377E4F3181E07E3E21DC71EDC4BA06A4gB4AH" TargetMode="External"/><Relationship Id="rId13" Type="http://schemas.openxmlformats.org/officeDocument/2006/relationships/hyperlink" Target="consultantplus://offline/ref=CC6B9077D7E7B71203FFF194FBB1F00C4FF7432F9D0043D1AAD3FCEEC7F307913F1B836B2A256963326B1960C7gB45H" TargetMode="External"/><Relationship Id="rId18" Type="http://schemas.openxmlformats.org/officeDocument/2006/relationships/hyperlink" Target="consultantplus://offline/ref=CC6B9077D7E7B71203FFF194FBB1F00C4CFF422D950743D1AAD3FCEEC7F307912D1BDB672B227763347E4F3181E07E3E21DC71EDC4BA06A4gB4AH" TargetMode="External"/><Relationship Id="rId26" Type="http://schemas.openxmlformats.org/officeDocument/2006/relationships/hyperlink" Target="consultantplus://offline/ref=CC6B9077D7E7B71203FFF194FBB1F00C4CFF4A239E0643D1AAD3FCEEC7F307912D1BDB672B227760377E4F3181E07E3E21DC71EDC4BA06A4gB4AH" TargetMode="External"/><Relationship Id="rId3" Type="http://schemas.openxmlformats.org/officeDocument/2006/relationships/settings" Target="settings.xml"/><Relationship Id="rId21" Type="http://schemas.openxmlformats.org/officeDocument/2006/relationships/hyperlink" Target="consultantplus://offline/ref=CC6B9077D7E7B71203FFF194FBB1F00C4CFF4F299B0243D1AAD3FCEEC7F307912D1BDB672B22776A377E4F3181E07E3E21DC71EDC4BA06A4gB4AH" TargetMode="External"/><Relationship Id="rId7" Type="http://schemas.openxmlformats.org/officeDocument/2006/relationships/hyperlink" Target="consultantplus://offline/ref=CC6B9077D7E7B71203FFF194FBB1F00C4CFF422D950743D1AAD3FCEEC7F307912D1BDB672B227763347E4F3181E07E3E21DC71EDC4BA06A4gB4AH" TargetMode="External"/><Relationship Id="rId12" Type="http://schemas.openxmlformats.org/officeDocument/2006/relationships/hyperlink" Target="consultantplus://offline/ref=CC6B9077D7E7B71203FFF194FBB1F00C4CFF422D950743D1AAD3FCEEC7F307912D1BDB672B227763347E4F3181E07E3E21DC71EDC4BA06A4gB4AH" TargetMode="External"/><Relationship Id="rId17" Type="http://schemas.openxmlformats.org/officeDocument/2006/relationships/hyperlink" Target="consultantplus://offline/ref=CC6B9077D7E7B71203FFF194FBB1F00C4CFE482A9F0743D1AAD3FCEEC7F307912D1BDB672B227762347E4F3181E07E3E21DC71EDC4BA06A4gB4AH" TargetMode="External"/><Relationship Id="rId25" Type="http://schemas.openxmlformats.org/officeDocument/2006/relationships/hyperlink" Target="consultantplus://offline/ref=CC6B9077D7E7B71203FFF194FBB1F00C4CFF4A239E0643D1AAD3FCEEC7F307912D1BDB672B227760377E4F3181E07E3E21DC71EDC4BA06A4gB4AH" TargetMode="External"/><Relationship Id="rId2" Type="http://schemas.microsoft.com/office/2007/relationships/stylesWithEffects" Target="stylesWithEffects.xml"/><Relationship Id="rId16" Type="http://schemas.openxmlformats.org/officeDocument/2006/relationships/hyperlink" Target="consultantplus://offline/ref=CC6B9077D7E7B71203FFF194FBB1F00C4CFF4A239E0643D1AAD3FCEEC7F307912D1BDB672B227763347E4F3181E07E3E21DC71EDC4BA06A4gB4AH" TargetMode="External"/><Relationship Id="rId20" Type="http://schemas.openxmlformats.org/officeDocument/2006/relationships/hyperlink" Target="consultantplus://offline/ref=CC6B9077D7E7B71203FFF194FBB1F00C4CFF4A239E0643D1AAD3FCEEC7F307912D1BDB672B227762337E4F3181E07E3E21DC71EDC4BA06A4gB4A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6B9077D7E7B71203FFF194FBB1F00C4CFF4A239E0643D1AAD3FCEEC7F307912D1BDB672B227763367E4F3181E07E3E21DC71EDC4BA06A4gB4AH" TargetMode="External"/><Relationship Id="rId11" Type="http://schemas.openxmlformats.org/officeDocument/2006/relationships/hyperlink" Target="consultantplus://offline/ref=CC6B9077D7E7B71203FFF194FBB1F00C4CFF4A239E0643D1AAD3FCEEC7F307912D1BDB672B227763367E4F3181E07E3E21DC71EDC4BA06A4gB4AH" TargetMode="External"/><Relationship Id="rId24" Type="http://schemas.openxmlformats.org/officeDocument/2006/relationships/hyperlink" Target="consultantplus://offline/ref=CC6B9077D7E7B71203FFF194FBB1F00C4CFF4F299B0243D1AAD3FCEEC7F307912D1BDB672B227664367E4F3181E07E3E21DC71EDC4BA06A4gB4AH" TargetMode="External"/><Relationship Id="rId5" Type="http://schemas.openxmlformats.org/officeDocument/2006/relationships/hyperlink" Target="consultantplus://offline/ref=CC6B9077D7E7B71203FFF194FBB1F00C4CFE482A9F0743D1AAD3FCEEC7F307912D1BDB672B227762357E4F3181E07E3E21DC71EDC4BA06A4gB4AH" TargetMode="External"/><Relationship Id="rId15" Type="http://schemas.openxmlformats.org/officeDocument/2006/relationships/hyperlink" Target="consultantplus://offline/ref=CC6B9077D7E7B71203FFF194FBB1F00C4CFF4A239E0643D1AAD3FCEEC7F307912D1BDB672B227763357E4F3181E07E3E21DC71EDC4BA06A4gB4AH"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consultantplus://offline/ref=CC6B9077D7E7B71203FFF194FBB1F00C4CFE482A9F0743D1AAD3FCEEC7F307912D1BDB672B227762347E4F3181E07E3E21DC71EDC4BA06A4gB4AH" TargetMode="External"/><Relationship Id="rId19" Type="http://schemas.openxmlformats.org/officeDocument/2006/relationships/hyperlink" Target="consultantplus://offline/ref=CC6B9077D7E7B71203FFF194FBB1F00C4CFF4A239E0643D1AAD3FCEEC7F307912D1BDB672B2277633A7E4F3181E07E3E21DC71EDC4BA06A4gB4AH" TargetMode="External"/><Relationship Id="rId4" Type="http://schemas.openxmlformats.org/officeDocument/2006/relationships/webSettings" Target="webSettings.xml"/><Relationship Id="rId9" Type="http://schemas.openxmlformats.org/officeDocument/2006/relationships/hyperlink" Target="consultantplus://offline/ref=CC6B9077D7E7B71203FFF194FBB1F00C4CFF4F299B0243D1AAD3FCEEC7F307912D1BDB672B227663367E4F3181E07E3E21DC71EDC4BA06A4gB4AH" TargetMode="External"/><Relationship Id="rId14" Type="http://schemas.openxmlformats.org/officeDocument/2006/relationships/hyperlink" Target="consultantplus://offline/ref=CC6B9077D7E7B71203FFEE85EEB1F00C4DFD43289D0343D1AAD3FCEEC7F307912D1BDB6728277C3762314E6DC4B26D3F27DC73ECD8gB48H" TargetMode="External"/><Relationship Id="rId22" Type="http://schemas.openxmlformats.org/officeDocument/2006/relationships/hyperlink" Target="consultantplus://offline/ref=CC6B9077D7E7B71203FFF194FBB1F00C4CFF4F299B0243D1AAD3FCEEC7F307912D1BDB672B227665317E4F3181E07E3E21DC71EDC4BA06A4gB4AH" TargetMode="External"/><Relationship Id="rId27" Type="http://schemas.openxmlformats.org/officeDocument/2006/relationships/hyperlink" Target="consultantplus://offline/ref=CC6B9077D7E7B71203FFF194FBB1F00C4CFF4A239E0643D1AAD3FCEEC7F307912D1BDB672B227760367E4F3181E07E3E21DC71EDC4BA06A4gB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3552</Words>
  <Characters>20251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Мазник</dc:creator>
  <cp:lastModifiedBy>Александра Юрьевна Мазник</cp:lastModifiedBy>
  <cp:revision>1</cp:revision>
  <dcterms:created xsi:type="dcterms:W3CDTF">2020-01-17T07:56:00Z</dcterms:created>
  <dcterms:modified xsi:type="dcterms:W3CDTF">2020-01-17T08:11:00Z</dcterms:modified>
</cp:coreProperties>
</file>