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right="137"/>
        <w:jc w:val="center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в составе заявки </w:t>
      </w:r>
      <w:r>
        <w:rPr>
          <w:bCs/>
          <w:sz w:val="28"/>
          <w:szCs w:val="28"/>
        </w:rPr>
        <w:t>от С</w:t>
      </w:r>
      <w:r>
        <w:rPr>
          <w:bCs/>
          <w:color w:val="000000"/>
          <w:spacing w:val="-6"/>
          <w:sz w:val="28"/>
          <w:szCs w:val="28"/>
        </w:rPr>
        <w:t>оискателя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 на получение субсидии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 финансового обеспечения затрат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 xml:space="preserve">с производством </w:t>
      </w:r>
      <w:r>
        <w:rPr>
          <w:bCs/>
          <w:color w:val="000000"/>
          <w:spacing w:val="-6"/>
          <w:sz w:val="28"/>
          <w:szCs w:val="28"/>
        </w:rPr>
        <w:t>регионального п</w:t>
      </w:r>
      <w:r w:rsidRPr="00843BC1">
        <w:rPr>
          <w:bCs/>
          <w:color w:val="000000"/>
          <w:spacing w:val="-6"/>
          <w:sz w:val="28"/>
          <w:szCs w:val="28"/>
        </w:rPr>
        <w:t xml:space="preserve">ериодического печатного издания </w:t>
      </w:r>
      <w:r>
        <w:rPr>
          <w:bCs/>
          <w:color w:val="000000"/>
          <w:spacing w:val="-6"/>
          <w:sz w:val="28"/>
          <w:szCs w:val="28"/>
        </w:rPr>
        <w:t>«               »</w:t>
      </w:r>
      <w:r w:rsidRPr="00843BC1">
        <w:rPr>
          <w:bCs/>
          <w:sz w:val="28"/>
          <w:szCs w:val="28"/>
        </w:rPr>
        <w:t xml:space="preserve"> </w:t>
      </w: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 xml:space="preserve">  </w:t>
      </w:r>
    </w:p>
    <w:p w:rsidR="000F0E93" w:rsidRPr="00FF3D3D" w:rsidRDefault="000F0E93" w:rsidP="000F0E93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</w:r>
      <w:r>
        <w:rPr>
          <w:bCs/>
          <w:color w:val="000000"/>
          <w:spacing w:val="-6"/>
          <w:sz w:val="28"/>
          <w:szCs w:val="28"/>
        </w:rPr>
        <w:t xml:space="preserve"> в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 </w:t>
      </w:r>
      <w:r>
        <w:rPr>
          <w:bCs/>
          <w:color w:val="000000"/>
          <w:spacing w:val="-6"/>
          <w:sz w:val="28"/>
          <w:szCs w:val="28"/>
        </w:rPr>
        <w:t>региональных</w:t>
      </w:r>
      <w:r w:rsidRPr="00843BC1">
        <w:rPr>
          <w:bCs/>
          <w:color w:val="000000"/>
          <w:spacing w:val="-6"/>
          <w:sz w:val="28"/>
          <w:szCs w:val="28"/>
        </w:rPr>
        <w:t xml:space="preserve"> периодическ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печатн</w:t>
      </w:r>
      <w:r>
        <w:rPr>
          <w:bCs/>
          <w:color w:val="000000"/>
          <w:spacing w:val="-6"/>
          <w:sz w:val="28"/>
          <w:szCs w:val="28"/>
        </w:rPr>
        <w:t>ых изданий</w:t>
      </w:r>
      <w:r w:rsidRPr="00843BC1">
        <w:rPr>
          <w:bCs/>
          <w:color w:val="000000"/>
          <w:spacing w:val="-6"/>
          <w:sz w:val="28"/>
          <w:szCs w:val="28"/>
        </w:rPr>
        <w:t>, проводимом Комитетом по печати Ленинградской области, направляются нижеперечисленные документы и материалы.</w:t>
      </w: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0F0E93" w:rsidRPr="00843BC1" w:rsidTr="005403A9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E93" w:rsidRPr="00843BC1" w:rsidRDefault="000F0E93" w:rsidP="005403A9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Pr="00843BC1" w:rsidRDefault="000F0E93" w:rsidP="005403A9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E93" w:rsidRPr="00843BC1" w:rsidRDefault="000F0E93" w:rsidP="005403A9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0F0E93" w:rsidRPr="00843BC1" w:rsidRDefault="000F0E93" w:rsidP="005403A9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0F0E93" w:rsidRPr="00843BC1" w:rsidRDefault="000F0E93" w:rsidP="005403A9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0F0E93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Pr="00843BC1" w:rsidRDefault="000F0E93" w:rsidP="005403A9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</w:tr>
      <w:tr w:rsidR="000F0E93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Pr="00843BC1" w:rsidRDefault="000F0E93" w:rsidP="005403A9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</w:tr>
      <w:tr w:rsidR="000F0E93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Pr="00843BC1" w:rsidRDefault="000F0E93" w:rsidP="005403A9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</w:tr>
      <w:tr w:rsidR="000F0E93" w:rsidRPr="00843BC1" w:rsidTr="005403A9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0E93" w:rsidRPr="00843BC1" w:rsidRDefault="000F0E93" w:rsidP="005403A9">
            <w:pPr>
              <w:ind w:right="485"/>
              <w:rPr>
                <w:sz w:val="24"/>
              </w:rPr>
            </w:pPr>
          </w:p>
        </w:tc>
      </w:tr>
    </w:tbl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0F0E93" w:rsidRPr="00843BC1" w:rsidRDefault="000F0E93" w:rsidP="000F0E93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0F0E93" w:rsidRPr="00843BC1" w:rsidRDefault="000F0E93" w:rsidP="000F0E93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0F0E93" w:rsidRDefault="000F0E93" w:rsidP="000F0E93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:rsidR="000F0E93" w:rsidRDefault="000F0E93" w:rsidP="000F0E93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F0E93" w:rsidRDefault="000F0E93" w:rsidP="000F0E93">
      <w:pPr>
        <w:widowControl/>
        <w:autoSpaceDE/>
        <w:adjustRightInd/>
        <w:ind w:firstLine="708"/>
        <w:jc w:val="center"/>
        <w:rPr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на участие в конкурсном отборе соискателя на получение субсидии из областного бюджета Ленинградской области в 2021 году в целях финансового обеспечения затрат в связи с производством продукции регионального периодического печатного издания </w:t>
      </w:r>
    </w:p>
    <w:p w:rsidR="000F0E93" w:rsidRDefault="000F0E93" w:rsidP="000F0E93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от____________________________________________________________</w:t>
      </w:r>
    </w:p>
    <w:p w:rsidR="000F0E93" w:rsidRDefault="000F0E93" w:rsidP="000F0E93">
      <w:pPr>
        <w:shd w:val="clear" w:color="auto" w:fill="FFFFFF"/>
        <w:spacing w:line="338" w:lineRule="exact"/>
        <w:ind w:left="2743" w:right="518" w:hanging="2743"/>
        <w:jc w:val="center"/>
      </w:pPr>
      <w:r>
        <w:rPr>
          <w:color w:val="000000"/>
          <w:spacing w:val="-4"/>
        </w:rPr>
        <w:t>наименование юридического лица - соискателя</w:t>
      </w:r>
    </w:p>
    <w:p w:rsidR="000F0E93" w:rsidRDefault="000F0E93" w:rsidP="000F0E93">
      <w:pPr>
        <w:shd w:val="clear" w:color="auto" w:fill="FFFFFF"/>
        <w:spacing w:before="331"/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color w:val="000000"/>
          <w:spacing w:val="-2"/>
          <w:w w:val="108"/>
          <w:sz w:val="26"/>
          <w:szCs w:val="26"/>
          <w:u w:val="single"/>
        </w:rPr>
        <w:t>Сведения о региональном периодическом печатном издании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ind w:left="34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Учредители (соучредители)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Телефон, факс, действующий и постоянно просматриваемый  e-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Количество подписчиков издания в 2020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1-ое полугодие 2020 года___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2-ое полугодие 2020 года___</w:t>
            </w: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Количество и ФИО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Директор (ФИО, рабочий телефон, мобильный телефон, e-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Наличие в штате бухгалтера или наличие договора о ведении бухгалтерского аутсорсинга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(ФИО, рабочий телефон, мобильный телефон, e-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Наличие договора с распространителем (с указанием </w:t>
            </w:r>
            <w:r>
              <w:rPr>
                <w:rFonts w:eastAsia="SimSun"/>
                <w:bCs/>
                <w:sz w:val="24"/>
                <w:szCs w:val="24"/>
                <w:lang w:eastAsia="en-US"/>
              </w:rPr>
              <w:lastRenderedPageBreak/>
              <w:t>реквизитов и срока действия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Периодичность выхода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Формат (для печатных изданий:</w:t>
            </w:r>
            <w:proofErr w:type="gramEnd"/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А3, А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>, иной;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Среднеразовый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тираж СМИ, указанный в заявке.  В случае если СМИ выходит  в свет более одного раза в неделю,  под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среднеразовым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тиражом СМИ понимается еженедельный выход СМИ, содержащий программу телепередач либо имеющий  наибольший тираж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Средний объем периодического печатного издания (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полосность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да/нет </w:t>
            </w:r>
            <w:r>
              <w:rPr>
                <w:rFonts w:eastAsia="SimSun"/>
                <w:bCs/>
                <w:i/>
                <w:sz w:val="24"/>
                <w:szCs w:val="24"/>
                <w:lang w:eastAsia="en-US"/>
              </w:rPr>
              <w:t>(выбрать нужное)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интернет-подписчиков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Охват аудитории СМИ, определяемый как отношение 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среднеразового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Охват аудитории электронной версии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Охват аудитории СМИ  в социальных сетях, определяемый как 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Интернет-страницы 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сданными статистики сообщества, заверенными подписью и печатью (при наличии) соискателя.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Средний объем периодического печатного издания (</w:t>
            </w: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полосность</w:t>
            </w:r>
            <w:proofErr w:type="spellEnd"/>
            <w:r>
              <w:rPr>
                <w:spacing w:val="2"/>
                <w:sz w:val="24"/>
                <w:szCs w:val="24"/>
                <w:lang w:eastAsia="en-US"/>
              </w:rPr>
              <w:t>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Среднее количество редакционных материалов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Вид распространения  (выбрать 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>):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- подписка и розничная продажа/Подписка, розничная продажа и бесплатное распространени</w:t>
            </w:r>
            <w:proofErr w:type="gramStart"/>
            <w:r>
              <w:rPr>
                <w:rFonts w:eastAsia="SimSun"/>
                <w:bCs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 не более 10 процентов тиража среди организаций социальной сферы, льготных категорий граждан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 xml:space="preserve"> - розничная продажа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- подписка и бесплатное распространение</w:t>
            </w:r>
          </w:p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- бесплатное распространение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3" w:rsidRDefault="000F0E93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0F0E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  <w:lang w:eastAsia="en-US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F0E93" w:rsidRDefault="000F0E93" w:rsidP="000F0E93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0F0E93" w:rsidRDefault="000F0E93" w:rsidP="000F0E93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>
        <w:rPr>
          <w:color w:val="000000"/>
          <w:w w:val="106"/>
          <w:sz w:val="28"/>
          <w:szCs w:val="28"/>
        </w:rPr>
        <w:t>Р</w:t>
      </w:r>
      <w:r>
        <w:rPr>
          <w:spacing w:val="-1"/>
          <w:sz w:val="28"/>
          <w:szCs w:val="28"/>
        </w:rPr>
        <w:t>уководитель организации      ________________                /_______________/</w:t>
      </w:r>
    </w:p>
    <w:p w:rsidR="000F0E93" w:rsidRDefault="000F0E93" w:rsidP="000F0E93">
      <w:pPr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"____"_______________________ 20__ г.</w:t>
      </w:r>
    </w:p>
    <w:p w:rsidR="000F0E93" w:rsidRDefault="000F0E93" w:rsidP="000F0E93">
      <w:pPr>
        <w:widowControl/>
        <w:autoSpaceDE/>
        <w:adjustRightInd/>
        <w:ind w:firstLine="708"/>
        <w:jc w:val="right"/>
        <w:rPr>
          <w:sz w:val="28"/>
          <w:szCs w:val="28"/>
        </w:rPr>
      </w:pPr>
    </w:p>
    <w:p w:rsidR="000F0E93" w:rsidRDefault="000F0E93" w:rsidP="000F0E93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заявке прилагаются: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 (по форме) о предоставлении субсидии;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0F0E93" w:rsidRDefault="000F0E93" w:rsidP="000F0E93">
      <w:pPr>
        <w:tabs>
          <w:tab w:val="left" w:pos="3632"/>
        </w:tabs>
        <w:ind w:firstLine="709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смета (по форме) </w:t>
      </w:r>
      <w:r>
        <w:rPr>
          <w:sz w:val="22"/>
          <w:szCs w:val="22"/>
        </w:rPr>
        <w:t xml:space="preserve"> прогнозируемых расходов на производство периодического печатного издания в 2021 году.</w:t>
      </w:r>
    </w:p>
    <w:p w:rsidR="000F0E93" w:rsidRDefault="000F0E93" w:rsidP="000F0E93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>
        <w:rPr>
          <w:rFonts w:eastAsia="SimSun"/>
          <w:sz w:val="22"/>
          <w:szCs w:val="22"/>
        </w:rPr>
        <w:t>ю(</w:t>
      </w:r>
      <w:proofErr w:type="gramEnd"/>
      <w:r>
        <w:rPr>
          <w:rFonts w:eastAsia="SimSun"/>
          <w:sz w:val="22"/>
          <w:szCs w:val="22"/>
        </w:rPr>
        <w:t>при наличии) соискателя;</w:t>
      </w:r>
    </w:p>
    <w:p w:rsidR="000F0E93" w:rsidRDefault="000F0E93" w:rsidP="000F0E93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</w:t>
      </w:r>
      <w:r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0F0E93" w:rsidRDefault="000F0E93" w:rsidP="000F0E93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 </w:t>
      </w:r>
      <w:r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0F0E93" w:rsidRDefault="000F0E93" w:rsidP="000F0E93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rFonts w:eastAsia="SimSun"/>
          <w:sz w:val="22"/>
          <w:szCs w:val="22"/>
        </w:rPr>
        <w:t>справка (в произвольной форме)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0F0E93" w:rsidRDefault="000F0E93" w:rsidP="000F0E93">
      <w:pPr>
        <w:ind w:firstLine="737"/>
        <w:jc w:val="both"/>
        <w:rPr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0F0E93" w:rsidRDefault="000F0E93" w:rsidP="000F0E93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копия действующего свидетельства о регистрации СМИ,</w:t>
      </w:r>
      <w:r>
        <w:rPr>
          <w:rFonts w:eastAsia="SimSun"/>
          <w:sz w:val="22"/>
          <w:szCs w:val="22"/>
        </w:rPr>
        <w:t xml:space="preserve"> подписанная руководителем  и заверенная печатью (при наличии) соискателя</w:t>
      </w:r>
      <w:r>
        <w:rPr>
          <w:rFonts w:eastAsia="Calibri"/>
          <w:sz w:val="22"/>
          <w:szCs w:val="22"/>
          <w:lang w:eastAsia="en-US"/>
        </w:rPr>
        <w:t>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справка (по форме), содержащая сведения об общем и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тираже регионального  периодического печатного издания, заверенная руководителем организации, где под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среднеразовым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 (по форме), заверенная полиграфическим предприятием, содержащая данные о количестве полос и общем тираже периодического печатного издания за год, предшествующий конкурсному отбору;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 (по форме), заверенная распространителем, содержащая данные об общем тираже регионального периодического печатного издания, реализованном по подписке, в розницу и безвозмездно в году, предшествующем году обращения за субсидией;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записка (по форме)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соискателя;</w:t>
      </w:r>
    </w:p>
    <w:p w:rsidR="000F0E93" w:rsidRDefault="000F0E93" w:rsidP="000F0E93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экземпляры двух последних выпусков периодического печатного издания;</w:t>
      </w:r>
    </w:p>
    <w:p w:rsidR="000F0E93" w:rsidRDefault="000F0E93" w:rsidP="000F0E93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>
        <w:rPr>
          <w:sz w:val="22"/>
          <w:szCs w:val="22"/>
        </w:rPr>
        <w:t>со статистическими данными о среднемесячной посещаемости сайта СМИ за три месяца, предшествующих конкурсному отбору, отражающую число уникальных посетителей в месяц по данным статистических счетчиков (</w:t>
      </w:r>
      <w:proofErr w:type="spellStart"/>
      <w:r>
        <w:rPr>
          <w:sz w:val="22"/>
          <w:szCs w:val="22"/>
        </w:rPr>
        <w:t>Яндекс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Гугл.Аналитикс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ЛайвИнтеренет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Рамблерс</w:t>
      </w:r>
      <w:proofErr w:type="spellEnd"/>
      <w:r>
        <w:rPr>
          <w:sz w:val="22"/>
          <w:szCs w:val="22"/>
        </w:rPr>
        <w:t xml:space="preserve"> Топ 100, Рейтинг </w:t>
      </w:r>
      <w:proofErr w:type="spellStart"/>
      <w:r>
        <w:rPr>
          <w:sz w:val="22"/>
          <w:szCs w:val="22"/>
        </w:rPr>
        <w:t>Мэйл.Ру</w:t>
      </w:r>
      <w:proofErr w:type="spellEnd"/>
      <w:r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0F0E93" w:rsidRDefault="000F0E93" w:rsidP="000F0E93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справка (в произвольной форме) 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>
        <w:rPr>
          <w:rFonts w:eastAsia="SimSun"/>
          <w:sz w:val="22"/>
          <w:szCs w:val="22"/>
        </w:rPr>
        <w:t>ведение</w:t>
      </w:r>
      <w:proofErr w:type="gramEnd"/>
      <w:r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2"/>
          <w:szCs w:val="22"/>
          <w:lang w:eastAsia="en-US"/>
        </w:rPr>
        <w:t>.</w:t>
      </w:r>
    </w:p>
    <w:p w:rsidR="000F0E93" w:rsidRDefault="000F0E93" w:rsidP="000F0E93">
      <w:pPr>
        <w:widowControl/>
        <w:autoSpaceDE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right="1037"/>
        <w:rPr>
          <w:b/>
          <w:bCs/>
          <w:color w:val="000000"/>
          <w:spacing w:val="-5"/>
          <w:sz w:val="26"/>
          <w:szCs w:val="26"/>
        </w:rPr>
      </w:pPr>
    </w:p>
    <w:p w:rsidR="000F0E93" w:rsidRPr="00892482" w:rsidRDefault="000F0E93" w:rsidP="000F0E93"/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Форма</w:t>
      </w: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>ЛЕНИЕ</w:t>
      </w:r>
    </w:p>
    <w:p w:rsidR="000F0E93" w:rsidRDefault="000F0E93" w:rsidP="000F0E93"/>
    <w:p w:rsidR="000F0E93" w:rsidRPr="00843BC1" w:rsidRDefault="000F0E93" w:rsidP="000F0E93"/>
    <w:p w:rsidR="000F0E93" w:rsidRPr="005F7943" w:rsidRDefault="000F0E93" w:rsidP="000F0E93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 </w:t>
      </w:r>
      <w:r>
        <w:rPr>
          <w:bCs/>
          <w:sz w:val="28"/>
          <w:szCs w:val="28"/>
        </w:rPr>
        <w:t>в</w:t>
      </w:r>
      <w:r w:rsidRPr="005F7943">
        <w:rPr>
          <w:bCs/>
          <w:sz w:val="28"/>
          <w:szCs w:val="28"/>
        </w:rPr>
        <w:t xml:space="preserve"> 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color w:val="000000"/>
          <w:spacing w:val="-6"/>
          <w:sz w:val="28"/>
          <w:szCs w:val="28"/>
        </w:rPr>
        <w:t>регионального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_______________________</w:t>
      </w:r>
      <w:r>
        <w:rPr>
          <w:bCs/>
          <w:sz w:val="28"/>
          <w:szCs w:val="28"/>
        </w:rPr>
        <w:t>______</w:t>
      </w:r>
      <w:r w:rsidRPr="005F7943">
        <w:rPr>
          <w:bCs/>
          <w:sz w:val="28"/>
          <w:szCs w:val="28"/>
        </w:rPr>
        <w:t>_____________________________________</w:t>
      </w:r>
    </w:p>
    <w:p w:rsidR="000F0E93" w:rsidRPr="005F794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0F0E93" w:rsidRPr="005F7943" w:rsidRDefault="000F0E93" w:rsidP="000F0E93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0F0E93" w:rsidRPr="005F7943" w:rsidRDefault="000F0E93" w:rsidP="000F0E93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 xml:space="preserve">«__»______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2_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0F0E93" w:rsidRPr="005F7943" w:rsidRDefault="000F0E93" w:rsidP="000F0E93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0F0E93" w:rsidRPr="005F7943" w:rsidRDefault="000F0E93" w:rsidP="000F0E93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0F0E93" w:rsidRPr="005A10E4" w:rsidRDefault="000F0E93" w:rsidP="000F0E93">
      <w:pPr>
        <w:widowControl/>
        <w:autoSpaceDE/>
        <w:autoSpaceDN/>
        <w:adjustRightInd/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A10E4">
        <w:rPr>
          <w:sz w:val="28"/>
          <w:szCs w:val="28"/>
        </w:rPr>
        <w:t>- не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/не прекратил деятельность в качестве индивидуального предпринимателя;</w:t>
      </w:r>
    </w:p>
    <w:p w:rsidR="000F0E93" w:rsidRPr="005F794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0E93" w:rsidRPr="002C6288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>ует</w:t>
      </w:r>
      <w:r w:rsidRPr="005F7943">
        <w:rPr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</w:t>
      </w:r>
      <w:r w:rsidRPr="002C6288">
        <w:rPr>
          <w:sz w:val="28"/>
          <w:szCs w:val="28"/>
        </w:rPr>
        <w:t xml:space="preserve">Федеральным </w:t>
      </w:r>
      <w:hyperlink r:id="rId6" w:history="1">
        <w:r w:rsidRPr="002C6288">
          <w:rPr>
            <w:sz w:val="28"/>
            <w:szCs w:val="28"/>
          </w:rPr>
          <w:t>законом</w:t>
        </w:r>
      </w:hyperlink>
      <w:r w:rsidRPr="002C6288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0F0E9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2C6288">
        <w:rPr>
          <w:sz w:val="28"/>
          <w:szCs w:val="28"/>
        </w:rPr>
        <w:t xml:space="preserve">- не получает средства </w:t>
      </w:r>
      <w:proofErr w:type="gramStart"/>
      <w:r w:rsidRPr="002C6288">
        <w:rPr>
          <w:sz w:val="28"/>
          <w:szCs w:val="28"/>
        </w:rPr>
        <w:t xml:space="preserve">из областного бюджета Ленинградской области в </w:t>
      </w:r>
      <w:r w:rsidRPr="005F7943">
        <w:rPr>
          <w:sz w:val="28"/>
          <w:szCs w:val="28"/>
        </w:rPr>
        <w:t>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регионального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0F0E93" w:rsidRPr="005F794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0F0E93" w:rsidRPr="005F794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0F0E93" w:rsidRPr="005F794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0F0E93" w:rsidRPr="005F7943" w:rsidRDefault="000F0E93" w:rsidP="000F0E93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0F0E93" w:rsidRPr="005F7943" w:rsidRDefault="000F0E93" w:rsidP="000F0E93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0F0E93" w:rsidRDefault="000F0E93" w:rsidP="000F0E93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0F0E93" w:rsidRPr="002438EC" w:rsidRDefault="000F0E93" w:rsidP="000F0E9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0F0E93" w:rsidRPr="002438EC" w:rsidRDefault="000F0E93" w:rsidP="000F0E93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0F0E93" w:rsidRPr="005F7943" w:rsidRDefault="000F0E93" w:rsidP="000F0E93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0F0E93" w:rsidRDefault="000F0E93" w:rsidP="000F0E93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F0E93" w:rsidRDefault="000F0E93" w:rsidP="000F0E93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Pr="00843BC1" w:rsidRDefault="000F0E93" w:rsidP="000F0E93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0F0E93" w:rsidRPr="00843BC1" w:rsidRDefault="000F0E93" w:rsidP="000F0E93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и </w:t>
      </w:r>
      <w:proofErr w:type="spellStart"/>
      <w:r w:rsidRPr="00843BC1">
        <w:rPr>
          <w:sz w:val="28"/>
          <w:szCs w:val="28"/>
        </w:rPr>
        <w:t>среднеразовом</w:t>
      </w:r>
      <w:proofErr w:type="spellEnd"/>
      <w:r w:rsidRPr="00843BC1">
        <w:rPr>
          <w:sz w:val="28"/>
          <w:szCs w:val="28"/>
        </w:rPr>
        <w:t xml:space="preserve"> тираже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</w:t>
      </w:r>
      <w:r>
        <w:rPr>
          <w:sz w:val="28"/>
          <w:szCs w:val="28"/>
        </w:rPr>
        <w:t xml:space="preserve"> «____________»</w:t>
      </w:r>
    </w:p>
    <w:p w:rsidR="000F0E93" w:rsidRPr="00843BC1" w:rsidRDefault="000F0E93" w:rsidP="000F0E93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43BC1">
              <w:rPr>
                <w:rFonts w:eastAsia="Calibri"/>
                <w:sz w:val="28"/>
                <w:szCs w:val="28"/>
              </w:rPr>
              <w:t>Среднеразовый</w:t>
            </w:r>
            <w:proofErr w:type="spellEnd"/>
            <w:r w:rsidRPr="00843BC1">
              <w:rPr>
                <w:rFonts w:eastAsia="Calibri"/>
                <w:sz w:val="28"/>
                <w:szCs w:val="28"/>
              </w:rPr>
              <w:t xml:space="preserve"> тираж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Pr="00843BC1">
              <w:rPr>
                <w:rFonts w:eastAsia="Calibri"/>
                <w:sz w:val="28"/>
                <w:szCs w:val="28"/>
              </w:rPr>
              <w:t xml:space="preserve">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F0E93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A14BD9" w:rsidRDefault="000F0E93" w:rsidP="000F0E93">
      <w:pPr>
        <w:widowControl/>
        <w:autoSpaceDE/>
        <w:autoSpaceDN/>
        <w:adjustRightInd/>
        <w:jc w:val="both"/>
      </w:pPr>
      <w:r w:rsidRPr="00A14BD9">
        <w:t xml:space="preserve">* </w:t>
      </w:r>
      <w:proofErr w:type="spellStart"/>
      <w:r w:rsidRPr="00A14BD9">
        <w:t>Среднеразовый</w:t>
      </w:r>
      <w:proofErr w:type="spellEnd"/>
      <w:r w:rsidRPr="00A14BD9">
        <w:t xml:space="preserve"> тираж это средний тираж газеты в неделю или значение, вычисленное делением общего тиража на число номеров в неделю</w:t>
      </w:r>
      <w:r>
        <w:t>.</w:t>
      </w:r>
    </w:p>
    <w:p w:rsidR="000F0E93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0F0E93" w:rsidRDefault="000F0E93" w:rsidP="000F0E93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0F0E93" w:rsidRPr="00843BC1" w:rsidRDefault="000F0E93" w:rsidP="000F0E93">
      <w:pPr>
        <w:widowControl/>
        <w:tabs>
          <w:tab w:val="left" w:pos="8291"/>
        </w:tabs>
        <w:jc w:val="right"/>
        <w:rPr>
          <w:sz w:val="24"/>
          <w:szCs w:val="24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0F0E93" w:rsidRPr="00843BC1" w:rsidRDefault="000F0E93" w:rsidP="000F0E93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0F0E93" w:rsidRPr="00843BC1" w:rsidRDefault="000F0E93" w:rsidP="000F0E93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 количестве полос </w:t>
      </w:r>
      <w:r>
        <w:rPr>
          <w:sz w:val="28"/>
          <w:szCs w:val="28"/>
        </w:rPr>
        <w:t xml:space="preserve"> «газета «_________»</w:t>
      </w:r>
      <w:r w:rsidRPr="00843BC1">
        <w:rPr>
          <w:sz w:val="28"/>
          <w:szCs w:val="28"/>
        </w:rPr>
        <w:t xml:space="preserve"> и общем тираже </w:t>
      </w:r>
      <w:r>
        <w:rPr>
          <w:sz w:val="28"/>
          <w:szCs w:val="28"/>
        </w:rPr>
        <w:t xml:space="preserve">регионального </w:t>
      </w:r>
      <w:r w:rsidRPr="00843BC1">
        <w:rPr>
          <w:sz w:val="28"/>
          <w:szCs w:val="28"/>
        </w:rPr>
        <w:t xml:space="preserve">печатного издания  за год, предшествующий обращению за субсидией </w:t>
      </w:r>
    </w:p>
    <w:p w:rsidR="000F0E93" w:rsidRPr="00843BC1" w:rsidRDefault="000F0E93" w:rsidP="000F0E93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3"/>
        <w:gridCol w:w="1875"/>
        <w:gridCol w:w="3243"/>
      </w:tblGrid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Объем</w:t>
            </w:r>
            <w:r>
              <w:rPr>
                <w:rFonts w:eastAsia="Calibri"/>
                <w:sz w:val="28"/>
                <w:szCs w:val="28"/>
              </w:rPr>
              <w:t xml:space="preserve"> печатного</w:t>
            </w:r>
            <w:r w:rsidRPr="00843BC1">
              <w:rPr>
                <w:rFonts w:eastAsia="Calibri"/>
                <w:sz w:val="28"/>
                <w:szCs w:val="28"/>
              </w:rPr>
              <w:t xml:space="preserve">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Объем </w:t>
            </w:r>
            <w:r>
              <w:rPr>
                <w:rFonts w:eastAsia="Calibri"/>
                <w:sz w:val="28"/>
                <w:szCs w:val="28"/>
              </w:rPr>
              <w:t xml:space="preserve">печатного </w:t>
            </w:r>
            <w:r w:rsidRPr="00843BC1">
              <w:rPr>
                <w:rFonts w:eastAsia="Calibri"/>
                <w:sz w:val="28"/>
                <w:szCs w:val="28"/>
              </w:rPr>
              <w:t>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7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F0E93" w:rsidRPr="00843BC1" w:rsidRDefault="000F0E93" w:rsidP="000F0E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типографии  ___________                 / ____________________/</w:t>
      </w:r>
    </w:p>
    <w:p w:rsidR="000F0E93" w:rsidRPr="00843BC1" w:rsidRDefault="000F0E93" w:rsidP="000F0E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0F0E93" w:rsidRPr="00843BC1" w:rsidRDefault="000F0E93" w:rsidP="000F0E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0F0E93" w:rsidRPr="00843BC1" w:rsidRDefault="000F0E93" w:rsidP="000F0E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0F0E93" w:rsidRPr="00843BC1" w:rsidRDefault="000F0E93" w:rsidP="000F0E93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F0E93" w:rsidRPr="00843BC1" w:rsidRDefault="000F0E93" w:rsidP="000F0E93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F0E93" w:rsidRPr="00843BC1" w:rsidRDefault="000F0E93" w:rsidP="000F0E93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0F0E93" w:rsidRDefault="000F0E93" w:rsidP="000F0E93">
      <w:pPr>
        <w:jc w:val="right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Pr="00843BC1" w:rsidRDefault="000F0E93" w:rsidP="000F0E93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0F0E93" w:rsidRPr="0034508A" w:rsidRDefault="000F0E93" w:rsidP="000F0E93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</w:t>
      </w:r>
      <w:r>
        <w:rPr>
          <w:sz w:val="28"/>
          <w:szCs w:val="28"/>
        </w:rPr>
        <w:t xml:space="preserve"> регионального</w:t>
      </w:r>
      <w:r w:rsidRPr="0084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периодического </w:t>
      </w:r>
      <w:r w:rsidRPr="00843BC1">
        <w:rPr>
          <w:sz w:val="28"/>
          <w:szCs w:val="28"/>
        </w:rPr>
        <w:t xml:space="preserve">печатного издания, реализованном по подписке, в розницу и безвозмездно </w:t>
      </w:r>
      <w:r>
        <w:rPr>
          <w:sz w:val="28"/>
          <w:szCs w:val="28"/>
        </w:rPr>
        <w:t xml:space="preserve">в </w:t>
      </w:r>
      <w:r w:rsidRPr="00843BC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43BC1">
        <w:rPr>
          <w:sz w:val="28"/>
          <w:szCs w:val="28"/>
        </w:rPr>
        <w:t xml:space="preserve">, </w:t>
      </w:r>
      <w:r w:rsidRPr="0034508A">
        <w:rPr>
          <w:rFonts w:eastAsia="Calibri"/>
          <w:sz w:val="28"/>
          <w:szCs w:val="28"/>
          <w:lang w:eastAsia="en-US"/>
        </w:rPr>
        <w:t>предшествующем году обращения за субсидией</w:t>
      </w:r>
      <w:r w:rsidRPr="0034508A">
        <w:rPr>
          <w:sz w:val="28"/>
          <w:szCs w:val="28"/>
        </w:rPr>
        <w:t xml:space="preserve"> </w:t>
      </w:r>
    </w:p>
    <w:p w:rsidR="000F0E93" w:rsidRPr="00843BC1" w:rsidRDefault="000F0E93" w:rsidP="000F0E93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rPr>
          <w:trHeight w:val="457"/>
        </w:trPr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0E93" w:rsidRPr="00843BC1" w:rsidTr="005403A9">
        <w:tc>
          <w:tcPr>
            <w:tcW w:w="639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0E93" w:rsidRPr="00843BC1" w:rsidRDefault="000F0E93" w:rsidP="005403A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F0E93" w:rsidRPr="00843BC1" w:rsidRDefault="000F0E93" w:rsidP="000F0E93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0F0E93" w:rsidRPr="00843BC1" w:rsidRDefault="000F0E93" w:rsidP="000F0E93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F0E93" w:rsidRPr="00843BC1" w:rsidRDefault="000F0E93" w:rsidP="000F0E93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Pr="00E46D65" w:rsidRDefault="000F0E93" w:rsidP="000F0E9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jc w:val="center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0F0E93" w:rsidRDefault="000F0E93" w:rsidP="000F0E93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0F0E93" w:rsidRPr="00843BC1" w:rsidRDefault="000F0E93" w:rsidP="000F0E93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0F0E93" w:rsidRDefault="000F0E93" w:rsidP="000F0E93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0F0E93" w:rsidRDefault="000F0E93" w:rsidP="000F0E93">
      <w:pPr>
        <w:spacing w:line="276" w:lineRule="auto"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spacing w:line="276" w:lineRule="auto"/>
        <w:ind w:firstLine="708"/>
        <w:jc w:val="both"/>
        <w:rPr>
          <w:sz w:val="28"/>
          <w:szCs w:val="28"/>
        </w:rPr>
      </w:pPr>
    </w:p>
    <w:p w:rsidR="000F0E93" w:rsidRDefault="000F0E93" w:rsidP="000F0E93">
      <w:pPr>
        <w:spacing w:line="276" w:lineRule="auto"/>
        <w:ind w:firstLine="708"/>
        <w:jc w:val="both"/>
        <w:rPr>
          <w:sz w:val="28"/>
          <w:szCs w:val="28"/>
        </w:rPr>
      </w:pPr>
    </w:p>
    <w:p w:rsidR="000F0E93" w:rsidRPr="00843BC1" w:rsidRDefault="000F0E93" w:rsidP="000F0E93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Сообщаю, что средний объем собственной информации одного выхода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0F0E93" w:rsidRPr="00843BC1" w:rsidRDefault="000F0E93" w:rsidP="000F0E93">
      <w:pPr>
        <w:spacing w:line="276" w:lineRule="auto"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0F0E93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0E93" w:rsidRPr="00843BC1" w:rsidRDefault="000F0E93" w:rsidP="000F0E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0F0E93" w:rsidRDefault="000F0E93" w:rsidP="000F0E93">
      <w:pPr>
        <w:jc w:val="right"/>
        <w:rPr>
          <w:sz w:val="24"/>
          <w:szCs w:val="24"/>
        </w:rPr>
      </w:pP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F0E93" w:rsidRDefault="000F0E93" w:rsidP="000F0E93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0F0E93" w:rsidRDefault="000F0E93" w:rsidP="000F0E93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0F0E93" w:rsidRDefault="000F0E93" w:rsidP="000F0E93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0F0E93" w:rsidRPr="0090080A" w:rsidRDefault="000F0E93" w:rsidP="000F0E93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>
        <w:rPr>
          <w:sz w:val="28"/>
        </w:rPr>
        <w:t>регионального</w:t>
      </w:r>
      <w:r w:rsidRPr="0090080A">
        <w:rPr>
          <w:sz w:val="28"/>
        </w:rPr>
        <w:t xml:space="preserve"> периодического печатного издания</w:t>
      </w:r>
      <w:r>
        <w:rPr>
          <w:sz w:val="28"/>
        </w:rPr>
        <w:t xml:space="preserve"> </w:t>
      </w: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</w:t>
      </w:r>
      <w:r>
        <w:rPr>
          <w:sz w:val="28"/>
        </w:rPr>
        <w:t>__</w:t>
      </w:r>
      <w:r w:rsidRPr="0090080A">
        <w:rPr>
          <w:sz w:val="28"/>
        </w:rPr>
        <w:t xml:space="preserve"> году</w:t>
      </w: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за период с </w:t>
      </w:r>
      <w:r>
        <w:rPr>
          <w:sz w:val="28"/>
        </w:rPr>
        <w:t>__</w:t>
      </w:r>
      <w:r w:rsidRPr="0090080A">
        <w:rPr>
          <w:sz w:val="28"/>
        </w:rPr>
        <w:t>.</w:t>
      </w:r>
      <w:r>
        <w:rPr>
          <w:sz w:val="28"/>
        </w:rPr>
        <w:t>__</w:t>
      </w:r>
      <w:r w:rsidRPr="0090080A">
        <w:rPr>
          <w:sz w:val="28"/>
        </w:rPr>
        <w:t>.20</w:t>
      </w:r>
      <w:r>
        <w:rPr>
          <w:sz w:val="28"/>
        </w:rPr>
        <w:t>__</w:t>
      </w:r>
      <w:r w:rsidRPr="0090080A">
        <w:rPr>
          <w:sz w:val="28"/>
        </w:rPr>
        <w:t xml:space="preserve"> по </w:t>
      </w:r>
      <w:r>
        <w:rPr>
          <w:sz w:val="28"/>
        </w:rPr>
        <w:t>__</w:t>
      </w:r>
      <w:r w:rsidRPr="0090080A">
        <w:rPr>
          <w:sz w:val="28"/>
        </w:rPr>
        <w:t>.</w:t>
      </w:r>
      <w:r>
        <w:rPr>
          <w:sz w:val="28"/>
        </w:rPr>
        <w:t>__</w:t>
      </w:r>
      <w:r w:rsidRPr="0090080A">
        <w:rPr>
          <w:sz w:val="28"/>
        </w:rPr>
        <w:t>.20</w:t>
      </w:r>
      <w:r>
        <w:rPr>
          <w:sz w:val="28"/>
        </w:rPr>
        <w:t>__</w:t>
      </w:r>
      <w:r w:rsidRPr="0090080A">
        <w:rPr>
          <w:sz w:val="28"/>
        </w:rPr>
        <w:t xml:space="preserve"> года</w:t>
      </w:r>
    </w:p>
    <w:p w:rsidR="000F0E93" w:rsidRPr="0090080A" w:rsidRDefault="000F0E93" w:rsidP="000F0E93">
      <w:pPr>
        <w:tabs>
          <w:tab w:val="left" w:pos="3632"/>
        </w:tabs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0F0E93" w:rsidRPr="0090080A" w:rsidRDefault="000F0E93" w:rsidP="000F0E93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0F0E93" w:rsidRPr="0090080A" w:rsidRDefault="000F0E93" w:rsidP="000F0E93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0F0E93" w:rsidRPr="0090080A" w:rsidTr="005403A9">
        <w:tc>
          <w:tcPr>
            <w:tcW w:w="84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№</w:t>
            </w:r>
          </w:p>
          <w:p w:rsidR="000F0E93" w:rsidRPr="0090080A" w:rsidRDefault="000F0E93" w:rsidP="005403A9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0F0E93" w:rsidRPr="0090080A" w:rsidTr="005403A9">
        <w:tc>
          <w:tcPr>
            <w:tcW w:w="84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</w:tr>
      <w:tr w:rsidR="000F0E93" w:rsidRPr="0090080A" w:rsidTr="005403A9">
        <w:tc>
          <w:tcPr>
            <w:tcW w:w="84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</w:tr>
      <w:tr w:rsidR="000F0E93" w:rsidRPr="0090080A" w:rsidTr="005403A9">
        <w:tc>
          <w:tcPr>
            <w:tcW w:w="84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</w:tr>
      <w:tr w:rsidR="000F0E93" w:rsidRPr="0090080A" w:rsidTr="005403A9">
        <w:tc>
          <w:tcPr>
            <w:tcW w:w="84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</w:p>
        </w:tc>
      </w:tr>
    </w:tbl>
    <w:p w:rsidR="000F0E93" w:rsidRPr="0090080A" w:rsidRDefault="000F0E93" w:rsidP="000F0E93">
      <w:pPr>
        <w:tabs>
          <w:tab w:val="left" w:pos="3632"/>
        </w:tabs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0F0E93" w:rsidRPr="0090080A" w:rsidRDefault="000F0E93" w:rsidP="000F0E93">
      <w:pPr>
        <w:tabs>
          <w:tab w:val="left" w:pos="3632"/>
        </w:tabs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0F0E93" w:rsidRPr="0090080A" w:rsidRDefault="000F0E93" w:rsidP="000F0E93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0F0E93" w:rsidRPr="0090080A" w:rsidRDefault="000F0E93" w:rsidP="000F0E93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0F0E93" w:rsidRPr="0090080A" w:rsidTr="005403A9">
        <w:tc>
          <w:tcPr>
            <w:tcW w:w="70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0F0E93" w:rsidRPr="0090080A" w:rsidRDefault="000F0E93" w:rsidP="005403A9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0F0E93" w:rsidRPr="0090080A" w:rsidTr="005403A9">
        <w:tc>
          <w:tcPr>
            <w:tcW w:w="70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0F0E93" w:rsidRPr="0090080A" w:rsidTr="005403A9">
        <w:tc>
          <w:tcPr>
            <w:tcW w:w="70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0F0E93" w:rsidRPr="0090080A" w:rsidTr="005403A9">
        <w:tc>
          <w:tcPr>
            <w:tcW w:w="70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0F0E93" w:rsidRPr="0090080A" w:rsidTr="005403A9">
        <w:tc>
          <w:tcPr>
            <w:tcW w:w="704" w:type="dxa"/>
          </w:tcPr>
          <w:p w:rsidR="000F0E93" w:rsidRPr="0090080A" w:rsidRDefault="000F0E93" w:rsidP="005403A9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0F0E93" w:rsidRPr="0090080A" w:rsidRDefault="000F0E93" w:rsidP="005403A9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Pr="0090080A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Default="000F0E93" w:rsidP="000F0E93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Прогнозируемые расходы по следующим статьям:</w:t>
      </w:r>
    </w:p>
    <w:p w:rsidR="000F0E93" w:rsidRDefault="000F0E93" w:rsidP="000F0E93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0F0E93" w:rsidTr="005403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  <w:t>расходов (руб.)</w:t>
            </w:r>
          </w:p>
        </w:tc>
      </w:tr>
      <w:tr w:rsidR="000F0E93" w:rsidTr="005403A9">
        <w:trPr>
          <w:trHeight w:val="28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BC6E4C" w:rsidRDefault="000F0E93" w:rsidP="005403A9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C6E4C">
              <w:rPr>
                <w:sz w:val="24"/>
                <w:szCs w:val="24"/>
                <w:lang w:eastAsia="en-US"/>
              </w:rPr>
              <w:t xml:space="preserve">- </w:t>
            </w:r>
            <w:r w:rsidRPr="00B03623">
              <w:rPr>
                <w:sz w:val="24"/>
                <w:szCs w:val="24"/>
                <w:lang w:eastAsia="en-US"/>
              </w:rPr>
              <w:t>оплата труда двух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  <w:r w:rsidRPr="00BC6E4C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0E93" w:rsidTr="005403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оплата работ (услуг) по печати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полиграфические услуги), приобретение газетной бумаги, экспедирование и распространение ( в части транспортировки до объектов почтовой связи и их структурных подразделений);</w:t>
            </w:r>
          </w:p>
          <w:p w:rsidR="000F0E93" w:rsidRDefault="000F0E93" w:rsidP="005403A9">
            <w:pPr>
              <w:widowControl/>
              <w:spacing w:before="20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0E93" w:rsidTr="005403A9">
        <w:trPr>
          <w:trHeight w:val="275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0E93" w:rsidRPr="00A7266D" w:rsidTr="005403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B3086B" w:rsidRDefault="000F0E93" w:rsidP="005403A9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086B">
              <w:rPr>
                <w:sz w:val="24"/>
                <w:szCs w:val="24"/>
                <w:lang w:eastAsia="en-US"/>
              </w:rPr>
              <w:t xml:space="preserve">- </w:t>
            </w:r>
            <w:r w:rsidRPr="00B03623">
              <w:rPr>
                <w:sz w:val="24"/>
                <w:szCs w:val="24"/>
                <w:lang w:eastAsia="en-US"/>
              </w:rPr>
              <w:t xml:space="preserve">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B03623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B03623">
              <w:rPr>
                <w:sz w:val="24"/>
                <w:szCs w:val="24"/>
                <w:lang w:eastAsia="en-US"/>
              </w:rPr>
              <w:t xml:space="preserve">или) </w:t>
            </w:r>
            <w:proofErr w:type="spellStart"/>
            <w:r w:rsidRPr="00B03623"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 w:rsidRPr="00B03623">
              <w:rPr>
                <w:sz w:val="24"/>
                <w:szCs w:val="24"/>
                <w:lang w:eastAsia="en-US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B03623">
              <w:rPr>
                <w:sz w:val="24"/>
                <w:szCs w:val="24"/>
                <w:lang w:eastAsia="en-US"/>
              </w:rPr>
              <w:t>Интернет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B03623">
              <w:rPr>
                <w:sz w:val="24"/>
                <w:szCs w:val="24"/>
                <w:lang w:eastAsia="en-US"/>
              </w:rPr>
              <w:t xml:space="preserve"> зарегистрирована в качестве сетевого средства массовой информации;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A7266D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0F0E93" w:rsidRPr="00A7266D" w:rsidTr="005403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B3086B" w:rsidRDefault="000F0E93" w:rsidP="005403A9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086B">
              <w:rPr>
                <w:sz w:val="24"/>
                <w:szCs w:val="24"/>
                <w:lang w:eastAsia="en-US"/>
              </w:rPr>
              <w:t>- расходы на приобретение компьютерного оборудования и оргтехники.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3" w:rsidRPr="00A7266D" w:rsidRDefault="000F0E93" w:rsidP="005403A9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</w:tbl>
    <w:p w:rsidR="000F0E93" w:rsidRDefault="000F0E93" w:rsidP="000F0E93">
      <w:pPr>
        <w:tabs>
          <w:tab w:val="left" w:pos="3632"/>
        </w:tabs>
        <w:jc w:val="center"/>
        <w:rPr>
          <w:sz w:val="28"/>
        </w:rPr>
      </w:pPr>
    </w:p>
    <w:p w:rsidR="000F0E93" w:rsidRDefault="000F0E93" w:rsidP="000F0E93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0F0E93" w:rsidRDefault="000F0E93" w:rsidP="000F0E93">
      <w:pPr>
        <w:tabs>
          <w:tab w:val="left" w:pos="3632"/>
        </w:tabs>
        <w:rPr>
          <w:sz w:val="28"/>
        </w:rPr>
      </w:pPr>
    </w:p>
    <w:p w:rsidR="000F0E93" w:rsidRDefault="000F0E93" w:rsidP="000F0E93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0F0E93" w:rsidRDefault="000F0E93" w:rsidP="000F0E93">
      <w:pPr>
        <w:tabs>
          <w:tab w:val="left" w:pos="3632"/>
          <w:tab w:val="left" w:pos="5490"/>
        </w:tabs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м.п</w:t>
      </w:r>
      <w:proofErr w:type="spellEnd"/>
      <w:r>
        <w:rPr>
          <w:bCs/>
          <w:sz w:val="26"/>
          <w:szCs w:val="26"/>
        </w:rPr>
        <w:t>.</w:t>
      </w:r>
    </w:p>
    <w:p w:rsidR="00236092" w:rsidRPr="0034508A" w:rsidRDefault="00236092" w:rsidP="00236092">
      <w:pPr>
        <w:tabs>
          <w:tab w:val="left" w:pos="8595"/>
        </w:tabs>
        <w:jc w:val="center"/>
        <w:rPr>
          <w:b/>
          <w:sz w:val="28"/>
          <w:szCs w:val="28"/>
        </w:rPr>
      </w:pPr>
      <w:r w:rsidRPr="0034508A">
        <w:rPr>
          <w:b/>
          <w:sz w:val="28"/>
          <w:szCs w:val="28"/>
        </w:rPr>
        <w:t>Перечень социально значимых тем для определения результатов предоставления субсидии</w:t>
      </w:r>
    </w:p>
    <w:p w:rsidR="00236092" w:rsidRPr="0034508A" w:rsidRDefault="00236092" w:rsidP="00236092">
      <w:pPr>
        <w:tabs>
          <w:tab w:val="left" w:pos="8595"/>
        </w:tabs>
        <w:jc w:val="center"/>
        <w:rPr>
          <w:b/>
          <w:sz w:val="28"/>
          <w:szCs w:val="28"/>
        </w:rPr>
      </w:pP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56579A">
        <w:rPr>
          <w:rFonts w:eastAsia="Calibri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236092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здорового образа жизни.</w:t>
      </w:r>
    </w:p>
    <w:p w:rsidR="00236092" w:rsidRPr="0056579A" w:rsidRDefault="00236092" w:rsidP="00236092">
      <w:pPr>
        <w:pStyle w:val="a4"/>
        <w:widowControl/>
        <w:numPr>
          <w:ilvl w:val="1"/>
          <w:numId w:val="3"/>
        </w:numPr>
        <w:autoSpaceDE/>
        <w:autoSpaceDN/>
        <w:adjustRightInd/>
        <w:spacing w:after="200" w:line="276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110">
        <w:rPr>
          <w:sz w:val="28"/>
          <w:szCs w:val="28"/>
        </w:rPr>
        <w:t>овышение мотивации женщин  к ведению здорового образа жизни</w:t>
      </w:r>
      <w:r>
        <w:rPr>
          <w:sz w:val="28"/>
          <w:szCs w:val="28"/>
        </w:rPr>
        <w:t>,</w:t>
      </w:r>
      <w:r w:rsidRPr="00804110">
        <w:t xml:space="preserve"> </w:t>
      </w:r>
      <w:r w:rsidRPr="00804110">
        <w:rPr>
          <w:sz w:val="28"/>
          <w:szCs w:val="28"/>
        </w:rPr>
        <w:t>вовлечение в занятие физической культурой и спортом</w:t>
      </w:r>
      <w:r>
        <w:rPr>
          <w:sz w:val="28"/>
          <w:szCs w:val="28"/>
        </w:rPr>
        <w:t>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физической культуры и спорта.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 xml:space="preserve">Популяризация культурного потенциала Ленинградской области.  </w:t>
      </w:r>
    </w:p>
    <w:p w:rsidR="00236092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Освещение деятельности и мер поддержки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36092" w:rsidRPr="0056579A" w:rsidRDefault="00236092" w:rsidP="00236092">
      <w:pPr>
        <w:pStyle w:val="a4"/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t xml:space="preserve"> </w:t>
      </w:r>
      <w:r w:rsidRPr="0056579A">
        <w:rPr>
          <w:bCs/>
          <w:sz w:val="28"/>
          <w:szCs w:val="28"/>
          <w:lang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Информирование в сфере труда и занятости населения.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t xml:space="preserve"> </w:t>
      </w:r>
      <w:r w:rsidRPr="0056579A">
        <w:rPr>
          <w:bCs/>
          <w:sz w:val="28"/>
          <w:szCs w:val="28"/>
          <w:lang w:bidi="x-none"/>
        </w:rPr>
        <w:t>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6579A">
        <w:rPr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sz w:val="28"/>
          <w:szCs w:val="28"/>
        </w:rPr>
        <w:t xml:space="preserve">енинградской области (ДНД и ОПН </w:t>
      </w:r>
      <w:r w:rsidRPr="0056579A">
        <w:rPr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идеологии терроризма и экстремизма.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color w:val="1F497D"/>
          <w:sz w:val="28"/>
          <w:szCs w:val="28"/>
        </w:rPr>
        <w:t xml:space="preserve">, </w:t>
      </w:r>
      <w:r w:rsidRPr="0056579A">
        <w:rPr>
          <w:sz w:val="28"/>
          <w:szCs w:val="28"/>
        </w:rPr>
        <w:t>работающих на основе бюджетного финансирования.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sz w:val="28"/>
          <w:szCs w:val="28"/>
        </w:rPr>
        <w:t>госуслуг</w:t>
      </w:r>
      <w:proofErr w:type="spellEnd"/>
      <w:r w:rsidRPr="0056579A">
        <w:rPr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использования услуг МФЦ в Ленинградской области.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Социально-экономическое развитие Ленинградской области.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eastAsia="Calibri"/>
          <w:sz w:val="28"/>
          <w:szCs w:val="28"/>
        </w:rPr>
        <w:t>сердечно-сосудистыми</w:t>
      </w:r>
      <w:proofErr w:type="gramEnd"/>
      <w:r w:rsidRPr="0056579A">
        <w:rPr>
          <w:rFonts w:eastAsia="Calibri"/>
          <w:sz w:val="28"/>
          <w:szCs w:val="28"/>
        </w:rPr>
        <w:t xml:space="preserve"> заболеваниями и пр.).</w:t>
      </w:r>
    </w:p>
    <w:p w:rsidR="00236092" w:rsidRPr="0056579A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236092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Перепись населения.</w:t>
      </w:r>
    </w:p>
    <w:p w:rsidR="00236092" w:rsidRPr="000A5BD1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BD1">
        <w:rPr>
          <w:rFonts w:eastAsia="Calibri"/>
          <w:sz w:val="28"/>
          <w:szCs w:val="28"/>
          <w:lang w:eastAsia="en-US"/>
        </w:rPr>
        <w:t>Пропаганда основ защиты прав потребителей.</w:t>
      </w:r>
    </w:p>
    <w:p w:rsidR="00236092" w:rsidRPr="000A5BD1" w:rsidRDefault="00236092" w:rsidP="00236092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A5BD1">
        <w:rPr>
          <w:rFonts w:eastAsia="Calibri"/>
          <w:sz w:val="28"/>
          <w:szCs w:val="28"/>
          <w:lang w:eastAsia="en-US"/>
        </w:rPr>
        <w:t>Научно-технологическое развитие в Ленинградской области.</w:t>
      </w:r>
    </w:p>
    <w:p w:rsidR="00236092" w:rsidRDefault="00236092" w:rsidP="00236092">
      <w:pPr>
        <w:ind w:right="-142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36092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Pr="000E1121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236092" w:rsidRPr="000E1121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Pr="000E1121" w:rsidRDefault="00236092" w:rsidP="00236092">
      <w:pPr>
        <w:spacing w:after="200" w:line="276" w:lineRule="auto"/>
        <w:ind w:right="-1"/>
        <w:contextualSpacing/>
        <w:jc w:val="center"/>
        <w:rPr>
          <w:b/>
          <w:sz w:val="28"/>
          <w:szCs w:val="28"/>
        </w:rPr>
      </w:pPr>
      <w:r w:rsidRPr="000E1121">
        <w:rPr>
          <w:b/>
          <w:sz w:val="28"/>
          <w:szCs w:val="28"/>
        </w:rPr>
        <w:t xml:space="preserve">Определение </w:t>
      </w:r>
      <w:r w:rsidRPr="001A4672">
        <w:rPr>
          <w:b/>
          <w:spacing w:val="-3"/>
          <w:sz w:val="28"/>
          <w:szCs w:val="28"/>
        </w:rPr>
        <w:t xml:space="preserve">предельного размера тиража, количества выпусков и формата полос регионального периодического печатного издания </w:t>
      </w:r>
    </w:p>
    <w:p w:rsidR="00236092" w:rsidRPr="000E1121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07"/>
        <w:gridCol w:w="2764"/>
      </w:tblGrid>
      <w:tr w:rsidR="00236092" w:rsidRPr="000E1121" w:rsidTr="005403A9">
        <w:tc>
          <w:tcPr>
            <w:tcW w:w="7054" w:type="dxa"/>
          </w:tcPr>
          <w:p w:rsidR="00236092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Наименование показателя</w:t>
            </w:r>
          </w:p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236092" w:rsidRPr="000E1121" w:rsidTr="005403A9">
        <w:tc>
          <w:tcPr>
            <w:tcW w:w="7054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Подписка и розничная продажа/ подписка, розничная продажа и бесплатное распространение (среди организаций социальной сферы, льготных категорий граждан)</w:t>
            </w:r>
          </w:p>
        </w:tc>
        <w:tc>
          <w:tcPr>
            <w:tcW w:w="2835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10 000 экз. тиража</w:t>
            </w:r>
          </w:p>
        </w:tc>
      </w:tr>
      <w:tr w:rsidR="00236092" w:rsidRPr="000E1121" w:rsidTr="005403A9">
        <w:tc>
          <w:tcPr>
            <w:tcW w:w="7054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Бесплатное распространение (подтверждается документами оказания услуг по распространению периодического печатного издания в каждый почтовый ящик)</w:t>
            </w:r>
          </w:p>
        </w:tc>
        <w:tc>
          <w:tcPr>
            <w:tcW w:w="2835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не более 25 000  экз. тиража</w:t>
            </w:r>
          </w:p>
        </w:tc>
      </w:tr>
      <w:tr w:rsidR="00236092" w:rsidRPr="000E1121" w:rsidTr="005403A9">
        <w:tc>
          <w:tcPr>
            <w:tcW w:w="7054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Формат полос </w:t>
            </w:r>
            <w:r>
              <w:rPr>
                <w:sz w:val="28"/>
                <w:szCs w:val="28"/>
              </w:rPr>
              <w:t>регионального</w:t>
            </w:r>
            <w:r w:rsidRPr="000E1121">
              <w:rPr>
                <w:sz w:val="28"/>
                <w:szCs w:val="28"/>
              </w:rPr>
              <w:t xml:space="preserve"> периодического печатного издания Ленинградской области</w:t>
            </w:r>
          </w:p>
        </w:tc>
        <w:tc>
          <w:tcPr>
            <w:tcW w:w="2835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А3</w:t>
            </w:r>
          </w:p>
        </w:tc>
      </w:tr>
      <w:tr w:rsidR="00236092" w:rsidRPr="000E1121" w:rsidTr="005403A9">
        <w:tc>
          <w:tcPr>
            <w:tcW w:w="7054" w:type="dxa"/>
          </w:tcPr>
          <w:p w:rsidR="00236092" w:rsidRPr="000E1121" w:rsidRDefault="00236092" w:rsidP="005403A9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Количество выпусков периодического печатного издания Ленинградской области в неделю</w:t>
            </w:r>
          </w:p>
        </w:tc>
        <w:tc>
          <w:tcPr>
            <w:tcW w:w="2835" w:type="dxa"/>
          </w:tcPr>
          <w:p w:rsidR="00236092" w:rsidRDefault="00236092" w:rsidP="005403A9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не реже 1 раза в неделю</w:t>
            </w:r>
          </w:p>
          <w:p w:rsidR="00236092" w:rsidRPr="000E1121" w:rsidRDefault="00236092" w:rsidP="005403A9">
            <w:pPr>
              <w:widowControl/>
              <w:spacing w:before="20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236092" w:rsidRPr="000E1121" w:rsidRDefault="00236092" w:rsidP="00236092">
      <w:pPr>
        <w:spacing w:after="200" w:line="276" w:lineRule="auto"/>
        <w:ind w:right="-1"/>
        <w:contextualSpacing/>
        <w:jc w:val="both"/>
        <w:rPr>
          <w:sz w:val="28"/>
          <w:szCs w:val="28"/>
        </w:rPr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jc w:val="right"/>
      </w:pPr>
    </w:p>
    <w:p w:rsidR="00236092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Pr="00C469E3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Pr="00C469E3" w:rsidRDefault="00236092" w:rsidP="00236092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236092" w:rsidRPr="00C469E3" w:rsidRDefault="00236092" w:rsidP="0023609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Количественные и качественные характеристики</w:t>
      </w:r>
    </w:p>
    <w:p w:rsidR="00236092" w:rsidRPr="00C469E3" w:rsidRDefault="00236092" w:rsidP="0023609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D0BAB">
        <w:rPr>
          <w:b/>
          <w:color w:val="000000"/>
          <w:sz w:val="28"/>
          <w:szCs w:val="28"/>
        </w:rPr>
        <w:t>показателей результатов предоставления субсидии</w:t>
      </w:r>
      <w:r w:rsidRPr="00C469E3">
        <w:rPr>
          <w:b/>
          <w:color w:val="000000"/>
          <w:sz w:val="28"/>
          <w:szCs w:val="28"/>
        </w:rPr>
        <w:t xml:space="preserve"> и порядок их расчета</w:t>
      </w:r>
    </w:p>
    <w:p w:rsidR="00236092" w:rsidRPr="00C469E3" w:rsidRDefault="00236092" w:rsidP="0023609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при заключении договора с получателем субсидии,</w:t>
      </w:r>
    </w:p>
    <w:p w:rsidR="00236092" w:rsidRDefault="00236092" w:rsidP="0023609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 xml:space="preserve">требования к графику выхода </w:t>
      </w:r>
      <w:r>
        <w:rPr>
          <w:b/>
          <w:color w:val="000000"/>
          <w:sz w:val="28"/>
          <w:szCs w:val="28"/>
        </w:rPr>
        <w:t>информационных материалов,</w:t>
      </w:r>
    </w:p>
    <w:p w:rsidR="00236092" w:rsidRDefault="00236092" w:rsidP="00236092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материалов социальной рекламы </w:t>
      </w:r>
      <w:r w:rsidRPr="00C469E3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C469E3">
        <w:rPr>
          <w:b/>
          <w:color w:val="000000"/>
          <w:sz w:val="28"/>
          <w:szCs w:val="28"/>
        </w:rPr>
        <w:t xml:space="preserve"> год</w:t>
      </w:r>
    </w:p>
    <w:p w:rsidR="00236092" w:rsidRPr="00C469E3" w:rsidRDefault="00236092" w:rsidP="0023609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36092" w:rsidRPr="0034508A" w:rsidRDefault="00236092" w:rsidP="002360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34508A">
        <w:rPr>
          <w:color w:val="000000"/>
          <w:sz w:val="28"/>
          <w:szCs w:val="28"/>
          <w:u w:color="000000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2021 году устанавливаются исходя из размера субсидии в соответствии с таблицей № 1. </w:t>
      </w:r>
    </w:p>
    <w:p w:rsidR="00236092" w:rsidRPr="0034508A" w:rsidRDefault="00236092" w:rsidP="002360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34508A">
        <w:rPr>
          <w:color w:val="000000"/>
          <w:sz w:val="28"/>
          <w:szCs w:val="28"/>
          <w:u w:color="000000"/>
        </w:rPr>
        <w:t xml:space="preserve">2. </w:t>
      </w:r>
      <w:proofErr w:type="gramStart"/>
      <w:r w:rsidRPr="0034508A">
        <w:rPr>
          <w:color w:val="000000"/>
          <w:sz w:val="28"/>
          <w:szCs w:val="28"/>
          <w:u w:color="000000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27.02.2019 г. № 78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Ленинградской области в рамках государственной программы Ленинградской</w:t>
      </w:r>
      <w:proofErr w:type="gramEnd"/>
      <w:r w:rsidRPr="0034508A">
        <w:rPr>
          <w:color w:val="000000"/>
          <w:sz w:val="28"/>
          <w:szCs w:val="28"/>
          <w:u w:color="000000"/>
        </w:rPr>
        <w:t xml:space="preserve"> области «Устойчивое общественное развитие 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236092" w:rsidRPr="0034508A" w:rsidRDefault="00236092" w:rsidP="00236092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34508A">
        <w:rPr>
          <w:color w:val="000000"/>
          <w:sz w:val="28"/>
          <w:szCs w:val="28"/>
          <w:u w:color="000000"/>
        </w:rPr>
        <w:t xml:space="preserve">3. Срок достижения показателей </w:t>
      </w:r>
      <w:r>
        <w:rPr>
          <w:sz w:val="28"/>
          <w:szCs w:val="28"/>
        </w:rPr>
        <w:t xml:space="preserve">результатов предоставления  субсидии </w:t>
      </w:r>
      <w:r>
        <w:rPr>
          <w:color w:val="000000"/>
          <w:sz w:val="28"/>
          <w:szCs w:val="28"/>
          <w:u w:color="000000"/>
        </w:rPr>
        <w:t xml:space="preserve"> - не позднее </w:t>
      </w:r>
      <w:r w:rsidRPr="0034508A">
        <w:rPr>
          <w:color w:val="000000"/>
          <w:sz w:val="28"/>
          <w:szCs w:val="28"/>
          <w:u w:color="000000"/>
        </w:rPr>
        <w:t xml:space="preserve">31 декабря 2021 года.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4. Общие требования к качеству информационных материалов: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34508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4508A">
        <w:rPr>
          <w:rFonts w:eastAsiaTheme="minorHAnsi"/>
          <w:sz w:val="28"/>
          <w:szCs w:val="28"/>
          <w:lang w:eastAsia="en-US"/>
        </w:rPr>
        <w:t>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>
        <w:rPr>
          <w:rFonts w:eastAsiaTheme="minorHAnsi"/>
          <w:sz w:val="28"/>
          <w:szCs w:val="28"/>
          <w:lang w:eastAsia="en-US"/>
        </w:rPr>
        <w:t>З</w:t>
      </w:r>
      <w:r w:rsidRPr="0034508A">
        <w:rPr>
          <w:rFonts w:eastAsiaTheme="minorHAnsi"/>
          <w:sz w:val="28"/>
          <w:szCs w:val="28"/>
          <w:lang w:eastAsia="en-US"/>
        </w:rPr>
        <w:t xml:space="preserve">акон от 27.12.1991 № 2124-1 «О средствах массовой информации», </w:t>
      </w:r>
      <w:r>
        <w:rPr>
          <w:rFonts w:eastAsiaTheme="minorHAnsi"/>
          <w:sz w:val="28"/>
          <w:szCs w:val="28"/>
          <w:lang w:eastAsia="en-US"/>
        </w:rPr>
        <w:t>З</w:t>
      </w:r>
      <w:r w:rsidRPr="0034508A">
        <w:rPr>
          <w:rFonts w:eastAsiaTheme="minorHAnsi"/>
          <w:sz w:val="28"/>
          <w:szCs w:val="28"/>
          <w:lang w:eastAsia="en-US"/>
        </w:rPr>
        <w:t>акон от 13.03.2006 № 38-ФЗ «О рекламе»).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- материалы, подготовленные на основе материалов пресс-службы </w:t>
      </w:r>
      <w:r>
        <w:rPr>
          <w:rFonts w:eastAsiaTheme="minorHAnsi"/>
          <w:sz w:val="28"/>
          <w:szCs w:val="28"/>
          <w:lang w:eastAsia="en-US"/>
        </w:rPr>
        <w:t>Г</w:t>
      </w:r>
      <w:r w:rsidRPr="0034508A">
        <w:rPr>
          <w:rFonts w:eastAsiaTheme="minorHAnsi"/>
          <w:sz w:val="28"/>
          <w:szCs w:val="28"/>
          <w:lang w:eastAsia="en-US"/>
        </w:rPr>
        <w:t xml:space="preserve">убернатора и </w:t>
      </w:r>
      <w:r>
        <w:rPr>
          <w:rFonts w:eastAsiaTheme="minorHAnsi"/>
          <w:sz w:val="28"/>
          <w:szCs w:val="28"/>
          <w:lang w:eastAsia="en-US"/>
        </w:rPr>
        <w:t>П</w:t>
      </w:r>
      <w:r w:rsidRPr="0034508A">
        <w:rPr>
          <w:rFonts w:eastAsiaTheme="minorHAnsi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Pr="0034508A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рерайт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 xml:space="preserve">), не могут превышать 35% от общего количества материалов.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приветствуется наличие комментариев экспертов по теме, видео с подходов по итогам мероприятий.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информационные материалы, подготовленные, в том числе на основе материалов пресс-службы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34508A">
        <w:rPr>
          <w:rFonts w:eastAsiaTheme="minorHAnsi"/>
          <w:sz w:val="28"/>
          <w:szCs w:val="28"/>
          <w:lang w:eastAsia="en-US"/>
        </w:rPr>
        <w:t xml:space="preserve">убернатора и </w:t>
      </w:r>
      <w:r>
        <w:rPr>
          <w:rFonts w:eastAsiaTheme="minorHAnsi"/>
          <w:sz w:val="28"/>
          <w:szCs w:val="28"/>
          <w:lang w:eastAsia="en-US"/>
        </w:rPr>
        <w:t>П</w:t>
      </w:r>
      <w:r w:rsidRPr="0034508A">
        <w:rPr>
          <w:rFonts w:eastAsiaTheme="minorHAnsi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34508A">
        <w:rPr>
          <w:rFonts w:eastAsiaTheme="minorHAnsi"/>
          <w:sz w:val="28"/>
          <w:szCs w:val="28"/>
          <w:lang w:eastAsia="en-US"/>
        </w:rPr>
        <w:t xml:space="preserve">, должны быть сопровождены актуальным </w:t>
      </w:r>
      <w:proofErr w:type="gramStart"/>
      <w:r w:rsidRPr="0034508A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4508A">
        <w:rPr>
          <w:rFonts w:eastAsiaTheme="minorHAnsi"/>
          <w:sz w:val="28"/>
          <w:szCs w:val="28"/>
          <w:lang w:eastAsia="en-US"/>
        </w:rPr>
        <w:t xml:space="preserve">или) соответствующим теме видеорядом/фотоматериалами.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5. Требования к формату материалов.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Материалы региональных периодических печатных изданий Ленинградской области выпускаются в формате: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рубрик и (или) отдельных статей, цикла статей в средстве массовой информации;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6. Требования к объему материалов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объем материалов, размещаемых на сайте СМИ не менее 700 знаков с пробелами;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34508A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34508A">
        <w:rPr>
          <w:rFonts w:eastAsiaTheme="minorHAnsi"/>
          <w:sz w:val="28"/>
          <w:szCs w:val="28"/>
          <w:lang w:eastAsia="en-US"/>
        </w:rPr>
        <w:t xml:space="preserve">. Материалы, подготовленные в рамках договора должны обозначаться графическим символом </w:t>
      </w:r>
      <w:r w:rsidRPr="0034508A">
        <w:rPr>
          <w:rFonts w:eastAsiaTheme="minorHAnsi"/>
          <w:sz w:val="28"/>
          <w:szCs w:val="28"/>
          <w:bdr w:val="single" w:sz="4" w:space="0" w:color="auto"/>
          <w:lang w:eastAsia="en-US"/>
        </w:rPr>
        <w:t>47</w:t>
      </w:r>
      <w:r w:rsidRPr="0034508A">
        <w:rPr>
          <w:rFonts w:eastAsiaTheme="minorHAnsi"/>
          <w:sz w:val="28"/>
          <w:szCs w:val="28"/>
          <w:lang w:eastAsia="en-US"/>
        </w:rPr>
        <w:t xml:space="preserve">  вместо точки в конце последнего абзаца текста материала.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508A">
        <w:rPr>
          <w:rFonts w:eastAsiaTheme="minorHAnsi"/>
          <w:sz w:val="28"/>
          <w:szCs w:val="28"/>
          <w:lang w:eastAsia="en-US"/>
        </w:rPr>
        <w:t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</w:t>
      </w:r>
      <w:r>
        <w:rPr>
          <w:rFonts w:eastAsiaTheme="minorHAnsi"/>
          <w:sz w:val="28"/>
          <w:szCs w:val="28"/>
          <w:lang w:eastAsia="en-US"/>
        </w:rPr>
        <w:t>ков и блока интерактивных опций;</w:t>
      </w:r>
      <w:r w:rsidRPr="0034508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- текстовый блок может быть сведен к новостному заголовку,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лиду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источниковой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 xml:space="preserve"> гиперссылке на уникальный материал, размещенный на официальном сайте СМИ (сайт СМИ-получателя субсидии, сайт </w:t>
      </w:r>
      <w:proofErr w:type="gramStart"/>
      <w:r w:rsidRPr="0034508A">
        <w:rPr>
          <w:rFonts w:eastAsiaTheme="minorHAnsi"/>
          <w:sz w:val="28"/>
          <w:szCs w:val="28"/>
          <w:lang w:eastAsia="en-US"/>
        </w:rPr>
        <w:t>-о</w:t>
      </w:r>
      <w:proofErr w:type="gramEnd"/>
      <w:r w:rsidRPr="0034508A">
        <w:rPr>
          <w:rFonts w:eastAsiaTheme="minorHAnsi"/>
          <w:sz w:val="28"/>
          <w:szCs w:val="28"/>
          <w:lang w:eastAsia="en-US"/>
        </w:rPr>
        <w:t xml:space="preserve">фициальный портал Администрации Ленинградской области www.lenobl.ru), где пользователь </w:t>
      </w:r>
      <w:r>
        <w:rPr>
          <w:rFonts w:eastAsiaTheme="minorHAnsi"/>
          <w:sz w:val="28"/>
          <w:szCs w:val="28"/>
          <w:lang w:eastAsia="en-US"/>
        </w:rPr>
        <w:t>может прочесть новость целиком);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34508A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34508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видеоконтентом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рисунком, анимацией, коллажем);</w:t>
      </w:r>
      <w:r w:rsidRPr="0034508A">
        <w:rPr>
          <w:rFonts w:eastAsiaTheme="minorHAnsi"/>
          <w:sz w:val="28"/>
          <w:szCs w:val="28"/>
          <w:lang w:eastAsia="en-US"/>
        </w:rPr>
        <w:t xml:space="preserve"> 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репост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 xml:space="preserve">, чтобы новость появилась во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френдленте</w:t>
      </w:r>
      <w:proofErr w:type="spellEnd"/>
      <w:r w:rsidRPr="0034508A">
        <w:rPr>
          <w:rFonts w:eastAsiaTheme="minorHAnsi"/>
          <w:sz w:val="28"/>
          <w:szCs w:val="28"/>
          <w:lang w:eastAsia="en-US"/>
        </w:rPr>
        <w:t xml:space="preserve"> у друзей и подписчиков читателя </w:t>
      </w:r>
      <w:proofErr w:type="spellStart"/>
      <w:r w:rsidRPr="0034508A">
        <w:rPr>
          <w:rFonts w:eastAsiaTheme="minorHAnsi"/>
          <w:sz w:val="28"/>
          <w:szCs w:val="28"/>
          <w:lang w:eastAsia="en-US"/>
        </w:rPr>
        <w:t>пабли</w:t>
      </w:r>
      <w:r>
        <w:rPr>
          <w:rFonts w:eastAsiaTheme="minorHAnsi"/>
          <w:sz w:val="28"/>
          <w:szCs w:val="28"/>
          <w:lang w:eastAsia="en-US"/>
        </w:rPr>
        <w:t>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СМИ. «Мне нравится» – «</w:t>
      </w:r>
      <w:proofErr w:type="spellStart"/>
      <w:r>
        <w:rPr>
          <w:rFonts w:eastAsiaTheme="minorHAnsi"/>
          <w:sz w:val="28"/>
          <w:szCs w:val="28"/>
          <w:lang w:eastAsia="en-US"/>
        </w:rPr>
        <w:t>лайк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508A">
        <w:rPr>
          <w:rFonts w:eastAsiaTheme="minorHAnsi"/>
          <w:sz w:val="28"/>
          <w:szCs w:val="28"/>
          <w:lang w:eastAsia="en-US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tbl>
      <w:tblPr>
        <w:tblStyle w:val="a3"/>
        <w:tblpPr w:leftFromText="180" w:rightFromText="180" w:vertAnchor="text" w:horzAnchor="margin" w:tblpXSpec="center" w:tblpY="-33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4536"/>
      </w:tblGrid>
      <w:tr w:rsidR="00236092" w:rsidRPr="0034508A" w:rsidTr="005403A9">
        <w:trPr>
          <w:trHeight w:val="1405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508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508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508A">
              <w:rPr>
                <w:sz w:val="24"/>
                <w:szCs w:val="24"/>
              </w:rPr>
              <w:t>Размер субсидии (руб.)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Значение показателя </w:t>
            </w:r>
            <w:r w:rsidRPr="00833E77">
              <w:rPr>
                <w:rFonts w:eastAsiaTheme="minorEastAsia"/>
                <w:sz w:val="24"/>
                <w:szCs w:val="24"/>
              </w:rPr>
              <w:t xml:space="preserve">результатов предоставления  субсидии </w:t>
            </w:r>
            <w:r w:rsidRPr="0034508A">
              <w:rPr>
                <w:rFonts w:eastAsiaTheme="minorEastAsia"/>
                <w:sz w:val="24"/>
                <w:szCs w:val="24"/>
              </w:rPr>
              <w:t xml:space="preserve"> (ед.) </w:t>
            </w:r>
          </w:p>
        </w:tc>
        <w:tc>
          <w:tcPr>
            <w:tcW w:w="6095" w:type="dxa"/>
            <w:gridSpan w:val="2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Требование к графику выходы материалов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236092" w:rsidRPr="0034508A" w:rsidTr="005403A9">
        <w:trPr>
          <w:trHeight w:val="834"/>
        </w:trPr>
        <w:tc>
          <w:tcPr>
            <w:tcW w:w="10598" w:type="dxa"/>
            <w:gridSpan w:val="5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</w:p>
        </w:tc>
      </w:tr>
      <w:tr w:rsidR="00236092" w:rsidRPr="0034508A" w:rsidTr="005403A9">
        <w:trPr>
          <w:trHeight w:val="1405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508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508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 xml:space="preserve"> 1 500 000 </w:t>
            </w:r>
            <w:r>
              <w:rPr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25 в квартал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4 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2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2 материалов в группе социальной сети</w:t>
            </w:r>
          </w:p>
        </w:tc>
      </w:tr>
      <w:tr w:rsidR="00236092" w:rsidRPr="0034508A" w:rsidTr="005403A9">
        <w:trPr>
          <w:trHeight w:val="572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508A">
              <w:rPr>
                <w:sz w:val="24"/>
                <w:szCs w:val="24"/>
              </w:rPr>
              <w:t xml:space="preserve">От </w:t>
            </w:r>
            <w:r w:rsidRPr="003450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1 500 001</w:t>
            </w:r>
            <w:r w:rsidRPr="0034508A">
              <w:rPr>
                <w:sz w:val="24"/>
                <w:szCs w:val="24"/>
              </w:rPr>
              <w:t xml:space="preserve"> до 2 500 000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5собственных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4 материалов в группе социальной сети</w:t>
            </w:r>
          </w:p>
        </w:tc>
      </w:tr>
      <w:tr w:rsidR="00236092" w:rsidRPr="0034508A" w:rsidTr="005403A9">
        <w:trPr>
          <w:trHeight w:val="706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2 500 001</w:t>
            </w:r>
            <w:r w:rsidRPr="0034508A">
              <w:rPr>
                <w:sz w:val="24"/>
                <w:szCs w:val="24"/>
              </w:rPr>
              <w:t xml:space="preserve"> до 5 000 000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6 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5 материалов в группе социальной сети</w:t>
            </w:r>
          </w:p>
        </w:tc>
      </w:tr>
      <w:tr w:rsidR="00236092" w:rsidRPr="0034508A" w:rsidTr="005403A9">
        <w:trPr>
          <w:trHeight w:val="702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5 000 001</w:t>
            </w:r>
            <w:r w:rsidRPr="0034508A">
              <w:rPr>
                <w:sz w:val="24"/>
                <w:szCs w:val="24"/>
              </w:rPr>
              <w:t xml:space="preserve"> до 7 500 000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6собственных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6 материалов в группе социальной сети</w:t>
            </w:r>
          </w:p>
        </w:tc>
      </w:tr>
      <w:tr w:rsidR="00236092" w:rsidRPr="0034508A" w:rsidTr="005403A9">
        <w:trPr>
          <w:trHeight w:val="704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508A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7 500 001</w:t>
            </w:r>
            <w:r w:rsidRPr="0034508A">
              <w:rPr>
                <w:sz w:val="24"/>
                <w:szCs w:val="24"/>
              </w:rPr>
              <w:t xml:space="preserve"> до 10 000 000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7собственных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7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7 материалов в группе социальной сети</w:t>
            </w:r>
          </w:p>
        </w:tc>
      </w:tr>
      <w:tr w:rsidR="00236092" w:rsidRPr="0034508A" w:rsidTr="005403A9">
        <w:trPr>
          <w:trHeight w:val="568"/>
        </w:trPr>
        <w:tc>
          <w:tcPr>
            <w:tcW w:w="817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3450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36092" w:rsidRPr="0034508A" w:rsidRDefault="00236092" w:rsidP="005403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34508A">
              <w:rPr>
                <w:sz w:val="24"/>
                <w:szCs w:val="24"/>
              </w:rPr>
              <w:t>10 000</w:t>
            </w:r>
            <w:r>
              <w:rPr>
                <w:sz w:val="24"/>
                <w:szCs w:val="24"/>
              </w:rPr>
              <w:t> 001 и более</w:t>
            </w:r>
          </w:p>
        </w:tc>
        <w:tc>
          <w:tcPr>
            <w:tcW w:w="1560" w:type="dxa"/>
          </w:tcPr>
          <w:p w:rsidR="00236092" w:rsidRPr="0034508A" w:rsidRDefault="00236092" w:rsidP="005403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В месяц не менее 8 собственных материалов с дублированием на сайт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 xml:space="preserve">Не менее 8 материалов на сайте с размещением ссылки на материал в группе СМИ социальной сети </w:t>
            </w:r>
          </w:p>
          <w:p w:rsidR="00236092" w:rsidRPr="0034508A" w:rsidRDefault="00236092" w:rsidP="005403A9">
            <w:pPr>
              <w:widowControl/>
              <w:autoSpaceDE/>
              <w:autoSpaceDN/>
              <w:adjustRightInd/>
              <w:spacing w:after="150"/>
              <w:rPr>
                <w:rFonts w:eastAsiaTheme="minorEastAsia"/>
                <w:sz w:val="24"/>
                <w:szCs w:val="24"/>
              </w:rPr>
            </w:pPr>
            <w:r w:rsidRPr="0034508A">
              <w:rPr>
                <w:rFonts w:eastAsiaTheme="minorEastAsia"/>
                <w:sz w:val="24"/>
                <w:szCs w:val="24"/>
              </w:rPr>
              <w:t>Не менее 8 материалов в группе социальной сети</w:t>
            </w:r>
          </w:p>
        </w:tc>
      </w:tr>
    </w:tbl>
    <w:p w:rsidR="00236092" w:rsidRPr="0034508A" w:rsidRDefault="00236092" w:rsidP="0023609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36092" w:rsidRPr="0034508A" w:rsidRDefault="00236092" w:rsidP="00236092">
      <w:pPr>
        <w:ind w:firstLine="709"/>
        <w:jc w:val="both"/>
        <w:rPr>
          <w:sz w:val="28"/>
          <w:szCs w:val="28"/>
        </w:rPr>
      </w:pPr>
      <w:r w:rsidRPr="0034508A">
        <w:rPr>
          <w:rFonts w:eastAsiaTheme="minorEastAsia"/>
          <w:sz w:val="28"/>
          <w:szCs w:val="28"/>
        </w:rPr>
        <w:t xml:space="preserve">Кроме того, показателем </w:t>
      </w:r>
      <w:r>
        <w:rPr>
          <w:sz w:val="28"/>
          <w:szCs w:val="28"/>
        </w:rPr>
        <w:t>результатов предоставления  субсидии</w:t>
      </w:r>
      <w:r w:rsidRPr="0034508A">
        <w:rPr>
          <w:rFonts w:eastAsiaTheme="minorEastAsia"/>
          <w:sz w:val="28"/>
          <w:szCs w:val="28"/>
        </w:rPr>
        <w:t xml:space="preserve"> является</w:t>
      </w:r>
      <w:r w:rsidRPr="0034508A">
        <w:rPr>
          <w:sz w:val="28"/>
          <w:szCs w:val="28"/>
        </w:rPr>
        <w:t xml:space="preserve"> обеспечение </w:t>
      </w:r>
      <w:proofErr w:type="gramStart"/>
      <w:r w:rsidRPr="0034508A">
        <w:rPr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34508A">
        <w:rPr>
          <w:sz w:val="28"/>
          <w:szCs w:val="28"/>
        </w:rPr>
        <w:t xml:space="preserve"> и числа участников сообществ СМИ в социальных сетях. Печатным СМИ, размер субсидии которых составляет до 1 500 000 рублей, необходимо обеспечить рост на 5%.  СМИ, размер субсидии которых составляет 1 500 000 рублей и выше – необходимо обеспечить рост на 3%.</w:t>
      </w:r>
    </w:p>
    <w:p w:rsidR="00985CFC" w:rsidRDefault="00985CFC"/>
    <w:sectPr w:rsidR="009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3"/>
    <w:rsid w:val="000F0E93"/>
    <w:rsid w:val="00236092"/>
    <w:rsid w:val="002F5153"/>
    <w:rsid w:val="009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09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36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09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36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4629</Words>
  <Characters>26387</Characters>
  <Application>Microsoft Office Word</Application>
  <DocSecurity>0</DocSecurity>
  <Lines>219</Lines>
  <Paragraphs>61</Paragraphs>
  <ScaleCrop>false</ScaleCrop>
  <Company/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2020-12-25T13:03:00Z</dcterms:created>
  <dcterms:modified xsi:type="dcterms:W3CDTF">2020-12-25T13:10:00Z</dcterms:modified>
</cp:coreProperties>
</file>