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ОПРЕДЕЛЕНИЯ ОБЪЕМА И ПРЕДОСТАВЛЕНИЯ СУБСИДИЙ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ИЗ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ОБЛАСТНОГО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БЮДЖЕТА ЛЕНИНГРАДСКОЙ ОБЛАСТИ СОЦИАЛЬНО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ОРИЕНТИРОВАННЫМ</w:t>
      </w:r>
      <w:proofErr w:type="gramEnd"/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НЕКОММЕРЧЕСКИМ ОРГАНИЗАЦИЯМ ЛЕНИНГРАДСКОЙ ОБЛАСТИ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РЕАЛИЗАЦИЮ ПРОЕКТОВ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социально ориентированным некоммерческим организациям Ленинградской области (далее - СО НКО) на реализацию проектов на территории Ленинградской области в рамках основного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поддержка проектов и </w:t>
      </w:r>
      <w:proofErr w:type="gramStart"/>
      <w:r>
        <w:rPr>
          <w:rFonts w:ascii="Arial" w:hAnsi="Arial" w:cs="Arial"/>
          <w:sz w:val="20"/>
          <w:szCs w:val="20"/>
        </w:rPr>
        <w:t>программ</w:t>
      </w:r>
      <w:proofErr w:type="gramEnd"/>
      <w:r>
        <w:rPr>
          <w:rFonts w:ascii="Arial" w:hAnsi="Arial" w:cs="Arial"/>
          <w:sz w:val="20"/>
          <w:szCs w:val="20"/>
        </w:rPr>
        <w:t xml:space="preserve"> социально ориентированных некоммерческих общественных организаций" подпрограммы "Государственная поддержка социально ориентированных некоммерческих организаций"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соответственно - основное мероприятие подпрограммы, субсидии).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В настоящем Порядке применяются следующие основные понятия: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- главный распорядитель бюджетных средств, осуществляющий предоставление субсидий в рамках реализации основного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мероприятия</w:t>
        </w:r>
      </w:hyperlink>
      <w:r>
        <w:rPr>
          <w:rFonts w:ascii="Arial" w:hAnsi="Arial" w:cs="Arial"/>
          <w:sz w:val="20"/>
          <w:szCs w:val="20"/>
        </w:rPr>
        <w:t xml:space="preserve"> подпрограммы.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Главным распорядителем бюджетных средств является: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общего и профессионального образования Ленинградской области - в части государственной поддержки проектов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Комитет по печати Ленинградской области - в части государственной поддержки проектов СО НКО, осуществляющих один или несколько видов деятельности,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"О некоммерческих организациях" (далее - Федеральный закон от 12 января 1996 года N 7-ФЗ)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 "О государственной поддержке социально</w:t>
      </w:r>
      <w:proofErr w:type="gramEnd"/>
      <w:r>
        <w:rPr>
          <w:rFonts w:ascii="Arial" w:hAnsi="Arial" w:cs="Arial"/>
          <w:sz w:val="20"/>
          <w:szCs w:val="20"/>
        </w:rPr>
        <w:t xml:space="preserve"> ориентированных некоммерческих организаций в Ленинградской области" (далее - областной закон от 29 июня 2012 года N 52-оз), за исключением СО НКО, осуществляющих деятельность в сфере социальной помощи детям-сиротам, детям, оставшимся без попечения родителей, и детям из социально незащищенных семей;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23.07.2019 N 344)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- соискатель, претендующий на получение субсидии, признанный экспертным советом победителем конкурсного отбора, в отношении которого Комитетом принято решение о предоставлении субсидии;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- разработанный СО НКО комплекс взаимосвязанных мероприятий, в соответствии с которыми СО НКО осуществляет деятельность по решению социальных проблем в рамках установленного бюджета и плана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экспертный совет - коллегиальный орган для проведения конкурсного отбора, образуемый правовым актом Комитета из числа лиц, замещающих должности государственной гражданской службы Ленинградской области, представителей органов государственной власти, представителей общественности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лиц, обладающих специальными познаниями. Положение об экспертном совете утверждается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критериев оценки заявок на получение субсидий, определяемых правовым актом Комитета.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1.3. Субсидии предоставляются в соответствии со сводной бюджетной росписью областного бюджета Ленинградской области (далее - областной бюджет) на текущий финансовый год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2. Категории и критерии отбора получателей субсидий, имеющих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право на получение 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Субсидии предоставляются СО НКО, осуществляющим один или несколько видов деятельности, указанных в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и отвечающим одновременно следующим критериям: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состоит на налоговом учете в территориальном налоговом органе Ленинградской области либо в территориальных налоговых органах субъектов Российской Федерации и имеет региональные отделения (представительства) и филиалы на территории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 осуществляет уставную деятельность на территории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4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3. Цели предоставления субсидии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Субсидии предоставляются СО НКО в целях финансового обеспечения затрат СО НКО, связанных с реализацией проектов на территории Ленинградской области.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4. Условия и порядок предоставления 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Субсидии предоставляются при соблюдении следующих условий: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соответствие получателя субсидии категориям и критериям отбора, предусмотренным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разделом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отсутствие просроченной задолженности по возврату в областной бюджет субсидий, бюджетных инвестиций, </w:t>
      </w:r>
      <w:proofErr w:type="gramStart"/>
      <w:r>
        <w:rPr>
          <w:rFonts w:ascii="Arial" w:hAnsi="Arial" w:cs="Arial"/>
          <w:sz w:val="20"/>
          <w:szCs w:val="20"/>
        </w:rPr>
        <w:t>предоставленных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соответствии с иными правовыми актами, и иной просроченной задолженности перед областным бюджетом;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отсутствие просроченной задолженности по заработной плате;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получатель субсидии не должен находиться в процессе реорганизации, ликвидации, банкротства;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ar34" w:history="1">
        <w:r>
          <w:rPr>
            <w:rFonts w:ascii="Arial" w:hAnsi="Arial" w:cs="Arial"/>
            <w:color w:val="0000FF"/>
            <w:sz w:val="20"/>
            <w:szCs w:val="20"/>
          </w:rPr>
          <w:t>разделом 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получатель субсидии не должен являться юридическим лицом, осуществляющим деятельность в качестве политической партии, политического и общественного движения;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отсутствие информации о нарушениях, допущенных получателем субсидии, в том числе о нецелевом использовании предоставленных средств, в государственном реестре социально ориентированных некоммерческих организаций - получателей государственной поддержки в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представление документов, указанных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4.8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сроки, установленные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заключение между Комитетом и получателем субсидии соглашения в сроки, определенные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условий, целей и порядка предоставления субсидий получателями субсидий.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 </w:t>
      </w:r>
      <w:proofErr w:type="gramStart"/>
      <w:r>
        <w:rPr>
          <w:rFonts w:ascii="Arial" w:hAnsi="Arial" w:cs="Arial"/>
          <w:sz w:val="20"/>
          <w:szCs w:val="20"/>
        </w:rPr>
        <w:t xml:space="preserve">Субсидии предоставляются на финансовое обеспечение планируемых затрат СО НКО, связанных с осуществлением в соответствии с учредительными документами СО НКО видов деятельности, указанных в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в рамках реализации проектов, в том числе на: оплату труда и начисления на оплату</w:t>
      </w:r>
      <w:proofErr w:type="gramEnd"/>
      <w:r>
        <w:rPr>
          <w:rFonts w:ascii="Arial" w:hAnsi="Arial" w:cs="Arial"/>
          <w:sz w:val="20"/>
          <w:szCs w:val="20"/>
        </w:rPr>
        <w:t xml:space="preserve"> труда сотрудников СО НКО согласно штатному расписанию СО НКО; закупку для работы СО НКО компьютерной, факсимильной и оргтехники; оплату телефонной связи, доступа к информационно-телекоммуникационной сети "Интернет" (далее - сеть "Интернет"); оплату командировочных и хозяйственных расходов сотрудников СО НКО; транспортные услуги, коммунальные услуги; арендную плату за пользование имуществом; услуги по содержанию имущества; оплату труда по договорам выполнения работ, оказания услуг.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>4.4. Показателями результативности (целевыми показателями) предоставления субсидии являются: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количество граждан, принимающих участие в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количество мероприятий, проведенных в рамках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количество добровольцев, привлеченных к реализации проекта;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количество публикаций о проекте в средствах массовой информации и социальных сетях.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целевых показателей устанавливаются Комитетом в соглашении.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Субсидии предоставляются по результатам проводимого Комитетом конкурсного отбора.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4"/>
      <w:bookmarkEnd w:id="3"/>
      <w:r>
        <w:rPr>
          <w:rFonts w:ascii="Arial" w:hAnsi="Arial" w:cs="Arial"/>
          <w:sz w:val="20"/>
          <w:szCs w:val="20"/>
        </w:rPr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на предоставление субсидий (далее - заявка) и способ подачи заявок. Срок приема заявок устанавливается в количестве не менее 10 и не более 30 календарных дней. Информация о сроках приема заявок публикуется на официальном сайте Комитета в сети "Интернет" не менее чем за три рабочих дня до даты начала приема заявок.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Правовым актом Комитета определяются направления и виды деятельности, осуществляемые СО НКО, указанные в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статье 31.1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12 января 1996 года N 7-ФЗ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 6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от 29 июня 2012 года N 52-оз, по которым принимаются заявки на участие в конкурсном отборе.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Поступающие заявки регистрируются в соответствующем журнале в день поступления в Комитет.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>4.8. Для получения субсидии соискатель представляет в Комитет заявку, включающую следующие документы: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заявление на предоставление субсидии по форме, утвержденной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смета расходов на реализацию проекта с финансово-экономическим обоснованием по форме, утвержденной правовым актом Комитета;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копия устава, заверенная подписью лица, действующего без доверенности от имени некоммерческой организации, и печатью (при наличии) СО НКО;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копия документа, подтверждающего полномочия руководителя или иного уполномоченного лица СО НКО, заверенная подписью руководителя (иного уполномоченного лица) и печатью (при наличии);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справка о банковских реквизитах соискателя с указанием расчетного счета для перечисления субсидии;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презентация проекта на электронном носителе в формате .</w:t>
      </w:r>
      <w:proofErr w:type="spellStart"/>
      <w:r>
        <w:rPr>
          <w:rFonts w:ascii="Arial" w:hAnsi="Arial" w:cs="Arial"/>
          <w:sz w:val="20"/>
          <w:szCs w:val="20"/>
        </w:rPr>
        <w:t>ppt</w:t>
      </w:r>
      <w:proofErr w:type="spellEnd"/>
      <w:r>
        <w:rPr>
          <w:rFonts w:ascii="Arial" w:hAnsi="Arial" w:cs="Arial"/>
          <w:sz w:val="20"/>
          <w:szCs w:val="20"/>
        </w:rPr>
        <w:t xml:space="preserve"> или .</w:t>
      </w:r>
      <w:proofErr w:type="spellStart"/>
      <w:r>
        <w:rPr>
          <w:rFonts w:ascii="Arial" w:hAnsi="Arial" w:cs="Arial"/>
          <w:sz w:val="20"/>
          <w:szCs w:val="20"/>
        </w:rPr>
        <w:t>pptx</w:t>
      </w:r>
      <w:proofErr w:type="spellEnd"/>
      <w:r>
        <w:rPr>
          <w:rFonts w:ascii="Arial" w:hAnsi="Arial" w:cs="Arial"/>
          <w:sz w:val="20"/>
          <w:szCs w:val="20"/>
        </w:rPr>
        <w:t xml:space="preserve"> объемом 10-15 слайдов;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справка соискателя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заверенная подписями руководителя, главного бухгалтера и печатью (при наличии) соискателя;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справка об отсутствии просроченной задолженности по возврату в областной бюджет субсидий, бюджетных инвестиций, предоставленных в соответствии с иными правовыми актами, и иной просроченной задолженности перед областным бюджетом, заверенная подписями руководителя, главного бухгалтера и печатью (при наличии) соискателя;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справка об отсутствии просроченной задолженности по заработной плате.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4.9. Дополнительно в рамках межведомственного информационного взаимодействия посредством автоматизированной информационной системы межведомственного электронного взаимодействия Ленинградской области (АИС "</w:t>
      </w:r>
      <w:proofErr w:type="spellStart"/>
      <w:r>
        <w:rPr>
          <w:rFonts w:ascii="Arial" w:hAnsi="Arial" w:cs="Arial"/>
          <w:sz w:val="20"/>
          <w:szCs w:val="20"/>
        </w:rPr>
        <w:t>Межвед</w:t>
      </w:r>
      <w:proofErr w:type="spellEnd"/>
      <w:r>
        <w:rPr>
          <w:rFonts w:ascii="Arial" w:hAnsi="Arial" w:cs="Arial"/>
          <w:sz w:val="20"/>
          <w:szCs w:val="20"/>
        </w:rPr>
        <w:t xml:space="preserve"> ЛО") Комитетом запрашиваются: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8"/>
      <w:bookmarkEnd w:id="5"/>
      <w:r>
        <w:rPr>
          <w:rFonts w:ascii="Arial" w:hAnsi="Arial" w:cs="Arial"/>
          <w:sz w:val="20"/>
          <w:szCs w:val="20"/>
        </w:rPr>
        <w:t>а) выписка из Единого государственного реестра юридических лиц;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данные о постановке юридического лица на учет в налоговом органе;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80"/>
      <w:bookmarkEnd w:id="6"/>
      <w:r>
        <w:rPr>
          <w:rFonts w:ascii="Arial" w:hAnsi="Arial" w:cs="Arial"/>
          <w:sz w:val="20"/>
          <w:szCs w:val="20"/>
        </w:rPr>
        <w:t>в) справки налогового органа и государственных внебюджетных фондов Российской Федерации об отсутствии просроченной задолженности по уплате налогов, сборов и иных обязательных платежей в бюджеты бюджетной системы Российской Федерации.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Соискатель вправе представить документы, указанные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подпунктах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80" w:history="1">
        <w:r>
          <w:rPr>
            <w:rFonts w:ascii="Arial" w:hAnsi="Arial" w:cs="Arial"/>
            <w:color w:val="0000FF"/>
            <w:sz w:val="20"/>
            <w:szCs w:val="20"/>
          </w:rPr>
          <w:t>"в" пункта 4.9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по собственной инициативе.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4.10.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4.11. Соискатель имеет право отозвать заявку путем письменного уведомления Комитета не </w:t>
      </w:r>
      <w:proofErr w:type="gramStart"/>
      <w:r>
        <w:rPr>
          <w:rFonts w:ascii="Arial" w:hAnsi="Arial" w:cs="Arial"/>
          <w:sz w:val="20"/>
          <w:szCs w:val="20"/>
        </w:rPr>
        <w:t>позднее</w:t>
      </w:r>
      <w:proofErr w:type="gramEnd"/>
      <w:r>
        <w:rPr>
          <w:rFonts w:ascii="Arial" w:hAnsi="Arial" w:cs="Arial"/>
          <w:sz w:val="20"/>
          <w:szCs w:val="20"/>
        </w:rPr>
        <w:t xml:space="preserve"> чем за два рабочих дня до даты заседания экспертного совета.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4.12. Рассмотрение заявок и принятие решения о победителях конкурсного отбора осуществляется экспертным советом в срок не позднее 30 календарных дней </w:t>
      </w:r>
      <w:proofErr w:type="gramStart"/>
      <w:r>
        <w:rPr>
          <w:rFonts w:ascii="Arial" w:hAnsi="Arial" w:cs="Arial"/>
          <w:sz w:val="20"/>
          <w:szCs w:val="20"/>
        </w:rPr>
        <w:t>с даты окончания</w:t>
      </w:r>
      <w:proofErr w:type="gramEnd"/>
      <w:r>
        <w:rPr>
          <w:rFonts w:ascii="Arial" w:hAnsi="Arial" w:cs="Arial"/>
          <w:sz w:val="20"/>
          <w:szCs w:val="20"/>
        </w:rPr>
        <w:t xml:space="preserve"> приема заявок.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4.13. Основаниями для отказа в предоставлении субсидии являются: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6"/>
      <w:bookmarkEnd w:id="7"/>
      <w:r>
        <w:rPr>
          <w:rFonts w:ascii="Arial" w:hAnsi="Arial" w:cs="Arial"/>
          <w:sz w:val="20"/>
          <w:szCs w:val="20"/>
        </w:rPr>
        <w:lastRenderedPageBreak/>
        <w:t xml:space="preserve">а) несоответствие представленных соискателем документов требованиям, установленным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пунктом 4.8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недостоверность представленной соискателем информации;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несоответствие соискателя условиям, установленным настоящим Порядком;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несоответствие соискателя категориям и критериям отбора, указанным в </w:t>
      </w:r>
      <w:hyperlink w:anchor="Par25" w:history="1">
        <w:r>
          <w:rPr>
            <w:rFonts w:ascii="Arial" w:hAnsi="Arial" w:cs="Arial"/>
            <w:color w:val="0000FF"/>
            <w:sz w:val="20"/>
            <w:szCs w:val="20"/>
          </w:rPr>
          <w:t>разделе 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0"/>
      <w:bookmarkEnd w:id="8"/>
      <w:r>
        <w:rPr>
          <w:rFonts w:ascii="Arial" w:hAnsi="Arial" w:cs="Arial"/>
          <w:sz w:val="20"/>
          <w:szCs w:val="20"/>
        </w:rPr>
        <w:t xml:space="preserve">д) непредставление документов в срок, установленный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наличии оснований для отказа в предоставлении субсидии, предусмотренных </w:t>
      </w:r>
      <w:hyperlink w:anchor="Par86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0" w:history="1">
        <w:r>
          <w:rPr>
            <w:rFonts w:ascii="Arial" w:hAnsi="Arial" w:cs="Arial"/>
            <w:color w:val="0000FF"/>
            <w:sz w:val="20"/>
            <w:szCs w:val="20"/>
          </w:rPr>
          <w:t>"д" пункта 4.13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соискатель в течение двух рабочих дней, следующих за днем оформления протокола заседания экспертного совета (далее - протокол), уведомляется об отказе в предоставлении субсидии.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4.14. </w:t>
      </w:r>
      <w:proofErr w:type="gramStart"/>
      <w:r>
        <w:rPr>
          <w:rFonts w:ascii="Arial" w:hAnsi="Arial" w:cs="Arial"/>
          <w:sz w:val="20"/>
          <w:szCs w:val="20"/>
        </w:rPr>
        <w:t>Размер субсидии определяется исходя из количества получателей субсидий, сметы планируемых расходов на реализацию мероприятий в рамках проекта, представленной соискателем, в пределах бюджетных ассигнований, утвержденных Комитету в сводной бюджетной росписи областного бюджета на соответствующий финансовый год.</w:t>
      </w:r>
      <w:proofErr w:type="gramEnd"/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4.15. Решения экспертного совета оформляются протоколом не позднее двух рабочих дней, следующих за днем проведения заседания экспертного совета. Победителям конкурсного отбора в течение семи рабочих дней направляется соответствующая выписка из протокола (по требованию).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в срок не позднее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подписания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размещает протокол на официальном сайте Комитета в сети "Интернет".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95"/>
      <w:bookmarkEnd w:id="9"/>
      <w:r>
        <w:rPr>
          <w:rFonts w:ascii="Arial" w:hAnsi="Arial" w:cs="Arial"/>
          <w:sz w:val="20"/>
          <w:szCs w:val="20"/>
        </w:rPr>
        <w:t xml:space="preserve">4.16. Комитет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опубликования</w:t>
      </w:r>
      <w:proofErr w:type="gramEnd"/>
      <w:r>
        <w:rPr>
          <w:rFonts w:ascii="Arial" w:hAnsi="Arial" w:cs="Arial"/>
          <w:sz w:val="20"/>
          <w:szCs w:val="20"/>
        </w:rPr>
        <w:t xml:space="preserve"> протокола на официальном сайте Комитета в сети "Интернет" издает правовой акт с указанием победителей конкурсного отбора и размеров предоставляемых им субсидий.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5. Порядок предоставления субсидии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9"/>
      <w:bookmarkEnd w:id="10"/>
      <w:r>
        <w:rPr>
          <w:rFonts w:ascii="Arial" w:hAnsi="Arial" w:cs="Arial"/>
          <w:sz w:val="20"/>
          <w:szCs w:val="20"/>
        </w:rPr>
        <w:t xml:space="preserve">5.1. Соглашение с победителем конкурсного отбора заключается на основании решения экспертного совета в течение 30 календарных дней, следующих за днем издания правового акта Комитета, указанного в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пункте 4.16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увеличения бюджетных ассигнований Комитет имеет право объявить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Формирование заявки на перечисление субсидий осуществляется Комитетом в течение 10 рабочих дней, следующих за датой заключения соглашения.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5.4.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распорядительной заявки на расход.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6. Требования к отчетности и осуществлению контроля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 соблюдением условий, целей и порядка предоставления</w:t>
      </w:r>
    </w:p>
    <w:p w:rsidR="005562EB" w:rsidRDefault="005562EB" w:rsidP="005562E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субсидий</w:t>
      </w: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562EB" w:rsidRDefault="005562EB" w:rsidP="00556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Форма и сроки представления получателем субсидии отчетности о достижении показателей результативности,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расходовании средств субсидии определяются соглашением.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</w:t>
      </w:r>
      <w:proofErr w:type="gramStart"/>
      <w:r>
        <w:rPr>
          <w:rFonts w:ascii="Arial" w:hAnsi="Arial" w:cs="Arial"/>
          <w:sz w:val="20"/>
          <w:szCs w:val="20"/>
        </w:rPr>
        <w:t xml:space="preserve">В случае </w:t>
      </w:r>
      <w:proofErr w:type="spellStart"/>
      <w:r>
        <w:rPr>
          <w:rFonts w:ascii="Arial" w:hAnsi="Arial" w:cs="Arial"/>
          <w:sz w:val="20"/>
          <w:szCs w:val="20"/>
        </w:rPr>
        <w:t>недостижения</w:t>
      </w:r>
      <w:proofErr w:type="spellEnd"/>
      <w:r>
        <w:rPr>
          <w:rFonts w:ascii="Arial" w:hAnsi="Arial" w:cs="Arial"/>
          <w:sz w:val="20"/>
          <w:szCs w:val="20"/>
        </w:rPr>
        <w:t xml:space="preserve"> получателем субсидии показателей результативности, указанных в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пункте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</w:t>
      </w:r>
      <w:proofErr w:type="gramEnd"/>
      <w:r>
        <w:rPr>
          <w:rFonts w:ascii="Arial" w:hAnsi="Arial" w:cs="Arial"/>
          <w:sz w:val="20"/>
          <w:szCs w:val="20"/>
        </w:rPr>
        <w:t xml:space="preserve"> или уполномоченного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6.4. В случае </w:t>
      </w:r>
      <w:proofErr w:type="spellStart"/>
      <w:r>
        <w:rPr>
          <w:rFonts w:ascii="Arial" w:hAnsi="Arial" w:cs="Arial"/>
          <w:sz w:val="20"/>
          <w:szCs w:val="20"/>
        </w:rPr>
        <w:t>неперечисления</w:t>
      </w:r>
      <w:proofErr w:type="spellEnd"/>
      <w:r>
        <w:rPr>
          <w:rFonts w:ascii="Arial" w:hAnsi="Arial" w:cs="Arial"/>
          <w:sz w:val="20"/>
          <w:szCs w:val="20"/>
        </w:rPr>
        <w:t xml:space="preserve"> субсидии в областной бюджет получателем субсидии в течение одного месяца </w:t>
      </w:r>
      <w:proofErr w:type="gramStart"/>
      <w:r>
        <w:rPr>
          <w:rFonts w:ascii="Arial" w:hAnsi="Arial" w:cs="Arial"/>
          <w:sz w:val="20"/>
          <w:szCs w:val="20"/>
        </w:rPr>
        <w:t>с даты получения</w:t>
      </w:r>
      <w:proofErr w:type="gramEnd"/>
      <w:r>
        <w:rPr>
          <w:rFonts w:ascii="Arial" w:hAnsi="Arial" w:cs="Arial"/>
          <w:sz w:val="20"/>
          <w:szCs w:val="20"/>
        </w:rP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Получатель субсидии обязуется обеспечить возврат неиспользованных средств субсидии в доход областного бюджета.</w:t>
      </w:r>
    </w:p>
    <w:p w:rsidR="005562EB" w:rsidRDefault="005562EB" w:rsidP="005562E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В случае неисполнения или ненадлежащего исполнения своих обязатель</w:t>
      </w:r>
      <w:proofErr w:type="gramStart"/>
      <w:r>
        <w:rPr>
          <w:rFonts w:ascii="Arial" w:hAnsi="Arial" w:cs="Arial"/>
          <w:sz w:val="20"/>
          <w:szCs w:val="20"/>
        </w:rPr>
        <w:t>ств ст</w:t>
      </w:r>
      <w:proofErr w:type="gramEnd"/>
      <w:r>
        <w:rPr>
          <w:rFonts w:ascii="Arial" w:hAnsi="Arial" w:cs="Arial"/>
          <w:sz w:val="20"/>
          <w:szCs w:val="20"/>
        </w:rPr>
        <w:t>ороны соглашения несут ответственность в соответствии с законодательством Российской Федерации.</w:t>
      </w:r>
    </w:p>
    <w:p w:rsidR="005562EB" w:rsidRDefault="005562EB" w:rsidP="005562EB"/>
    <w:p w:rsidR="00F31F68" w:rsidRPr="005562EB" w:rsidRDefault="00F31F68" w:rsidP="005562EB">
      <w:bookmarkStart w:id="11" w:name="_GoBack"/>
      <w:bookmarkEnd w:id="11"/>
    </w:p>
    <w:sectPr w:rsidR="00F31F68" w:rsidRPr="005562EB" w:rsidSect="002C12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AE"/>
    <w:rsid w:val="005562EB"/>
    <w:rsid w:val="00A245AE"/>
    <w:rsid w:val="00F3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13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12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02E84D31F8236D68E963CA4E260D3F5F8B153704AF731DAA92591BF176A0427EC37C517C4B4F9B9F10EAFD9A4199038FDB17B76B897D8D4r1F" TargetMode="External"/><Relationship Id="rId11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5" Type="http://schemas.openxmlformats.org/officeDocument/2006/relationships/hyperlink" Target="consultantplus://offline/ref=7BA02E84D31F8236D68E963CA4E260D3F5F8B153704AF731DAA92591BF176A0427EC37C517C4B4F9B7F10EAFD9A4199038FDB17B76B897D8D4r1F" TargetMode="External"/><Relationship Id="rId15" Type="http://schemas.openxmlformats.org/officeDocument/2006/relationships/hyperlink" Target="consultantplus://offline/ref=7BA02E84D31F8236D68E963CA4E260D3F6F0B1567846F731DAA92591BF176A0427EC37C515C2B1FDBAF10EAFD9A4199038FDB17B76B897D8D4r1F" TargetMode="External"/><Relationship Id="rId10" Type="http://schemas.openxmlformats.org/officeDocument/2006/relationships/hyperlink" Target="consultantplus://offline/ref=7BA02E84D31F8236D68E892DB1E260D3F4FAB0557F4AF731DAA92591BF176A0427EC37C516C6BBA9EEBE0FF39CF20A9039FDB27969DBr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02E84D31F8236D68E963CA4E260D3F5F8B1577147F731DAA92591BF176A0427EC37C515C2B1FDBDF10EAFD9A4199038FDB17B76B897D8D4r1F" TargetMode="External"/><Relationship Id="rId14" Type="http://schemas.openxmlformats.org/officeDocument/2006/relationships/hyperlink" Target="consultantplus://offline/ref=7BA02E84D31F8236D68E892DB1E260D3F4FAB0557F4AF731DAA92591BF176A0427EC37C516C6BBA9EEBE0FF39CF20A9039FDB27969DBr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3072</Words>
  <Characters>17515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Анатольевич Офицеров</dc:creator>
  <cp:keywords/>
  <dc:description/>
  <cp:lastModifiedBy>Михаил Анатольевич Офицеров</cp:lastModifiedBy>
  <cp:revision>2</cp:revision>
  <dcterms:created xsi:type="dcterms:W3CDTF">2019-12-13T05:43:00Z</dcterms:created>
  <dcterms:modified xsi:type="dcterms:W3CDTF">2019-12-13T05:44:00Z</dcterms:modified>
</cp:coreProperties>
</file>